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center"/>
        <w:rPr>
          <w:rFonts w:ascii="方正小标宋_GBK" w:hAnsi="Times New Roman" w:eastAsia="方正小标宋_GBK"/>
          <w:snapToGrid w:val="0"/>
          <w:color w:val="auto"/>
          <w:kern w:val="0"/>
          <w:sz w:val="44"/>
          <w:szCs w:val="44"/>
        </w:rPr>
      </w:pPr>
      <w:r>
        <w:rPr>
          <w:rFonts w:hint="eastAsia" w:ascii="方正小标宋_GBK" w:hAnsi="Times New Roman" w:eastAsia="方正小标宋_GBK"/>
          <w:snapToGrid w:val="0"/>
          <w:color w:val="auto"/>
          <w:kern w:val="0"/>
          <w:sz w:val="44"/>
          <w:szCs w:val="44"/>
          <w:lang w:val="en-US" w:eastAsia="zh-CN"/>
        </w:rPr>
        <w:t>蚌山</w:t>
      </w:r>
      <w:r>
        <w:rPr>
          <w:rFonts w:hint="eastAsia" w:ascii="方正小标宋_GBK" w:hAnsi="Times New Roman" w:eastAsia="方正小标宋_GBK"/>
          <w:snapToGrid w:val="0"/>
          <w:color w:val="auto"/>
          <w:kern w:val="0"/>
          <w:sz w:val="44"/>
          <w:szCs w:val="44"/>
          <w:lang w:eastAsia="zh-CN"/>
        </w:rPr>
        <w:t>区</w:t>
      </w:r>
      <w:r>
        <w:rPr>
          <w:rFonts w:hint="eastAsia" w:ascii="方正小标宋_GBK" w:hAnsi="Times New Roman" w:eastAsia="方正小标宋_GBK"/>
          <w:snapToGrid w:val="0"/>
          <w:color w:val="auto"/>
          <w:kern w:val="0"/>
          <w:sz w:val="44"/>
          <w:szCs w:val="44"/>
        </w:rPr>
        <w:t>文化艺术类校外培训机构</w:t>
      </w:r>
      <w:r>
        <w:rPr>
          <w:rFonts w:hint="eastAsia" w:ascii="方正小标宋_GBK" w:hAnsi="Times New Roman" w:eastAsia="方正小标宋_GBK"/>
          <w:snapToGrid w:val="0"/>
          <w:color w:val="auto"/>
          <w:kern w:val="0"/>
          <w:sz w:val="44"/>
          <w:szCs w:val="44"/>
          <w:lang w:val="en-US" w:eastAsia="zh-CN"/>
        </w:rPr>
        <w:t>设置标准的暂行补充规定</w:t>
      </w:r>
    </w:p>
    <w:p>
      <w:pPr>
        <w:pStyle w:val="8"/>
        <w:shd w:val="clear" w:color="auto" w:fill="auto"/>
        <w:adjustRightInd w:val="0"/>
        <w:snapToGrid w:val="0"/>
        <w:spacing w:line="600" w:lineRule="exact"/>
        <w:ind w:firstLine="660"/>
        <w:rPr>
          <w:rFonts w:ascii="Times New Roman" w:hAnsi="Times New Roman" w:eastAsia="仿宋_GB2312" w:cs="Times New Roman"/>
          <w:b w:val="0"/>
          <w:bCs/>
          <w:snapToGrid w:val="0"/>
          <w:color w:val="auto"/>
          <w:kern w:val="0"/>
          <w:sz w:val="32"/>
          <w:szCs w:val="32"/>
        </w:rPr>
      </w:pPr>
    </w:p>
    <w:p>
      <w:pPr>
        <w:pStyle w:val="8"/>
        <w:shd w:val="clear" w:color="auto" w:fill="auto"/>
        <w:adjustRightInd w:val="0"/>
        <w:snapToGrid w:val="0"/>
        <w:spacing w:line="600" w:lineRule="exact"/>
        <w:ind w:firstLine="660"/>
        <w:rPr>
          <w:rFonts w:ascii="Times New Roman" w:hAnsi="Times New Roman" w:eastAsia="仿宋_GB2312" w:cs="Times New Roman"/>
          <w:snapToGrid w:val="0"/>
          <w:color w:val="auto"/>
          <w:kern w:val="0"/>
          <w:sz w:val="32"/>
          <w:szCs w:val="32"/>
        </w:rPr>
      </w:pPr>
      <w:r>
        <w:rPr>
          <w:rFonts w:ascii="Times New Roman" w:hAnsi="Times New Roman" w:eastAsia="仿宋_GB2312" w:cs="Times New Roman"/>
          <w:b w:val="0"/>
          <w:bCs/>
          <w:snapToGrid w:val="0"/>
          <w:color w:val="auto"/>
          <w:kern w:val="0"/>
          <w:sz w:val="32"/>
          <w:szCs w:val="32"/>
        </w:rPr>
        <w:t>第一条</w:t>
      </w:r>
      <w:r>
        <w:rPr>
          <w:rFonts w:ascii="Times New Roman" w:hAnsi="Times New Roman" w:eastAsia="仿宋_GB2312" w:cs="Times New Roman"/>
          <w:b w:val="0"/>
          <w:bCs/>
          <w:snapToGrid w:val="0"/>
          <w:color w:val="auto"/>
          <w:kern w:val="0"/>
          <w:sz w:val="32"/>
          <w:szCs w:val="32"/>
          <w:lang w:val="en-US"/>
        </w:rPr>
        <w:t xml:space="preserve"> </w:t>
      </w:r>
      <w:r>
        <w:rPr>
          <w:rFonts w:ascii="Times New Roman" w:hAnsi="Times New Roman" w:eastAsia="仿宋_GB2312" w:cs="Times New Roman"/>
          <w:snapToGrid w:val="0"/>
          <w:color w:val="auto"/>
          <w:kern w:val="0"/>
          <w:sz w:val="32"/>
          <w:szCs w:val="32"/>
        </w:rPr>
        <w:t>为贯彻落实《中共中央办公厅 国务院办公厅关于进一步减轻义务教育阶段学生作业负担和校外培训负担的意见》精神，</w:t>
      </w:r>
      <w:r>
        <w:rPr>
          <w:rFonts w:hint="eastAsia" w:ascii="Times New Roman" w:hAnsi="Times New Roman" w:eastAsia="仿宋_GB2312" w:cs="Times New Roman"/>
          <w:snapToGrid w:val="0"/>
          <w:color w:val="auto"/>
          <w:kern w:val="0"/>
          <w:sz w:val="32"/>
          <w:szCs w:val="32"/>
          <w:lang w:eastAsia="zh-CN"/>
        </w:rPr>
        <w:t>进一步</w:t>
      </w:r>
      <w:r>
        <w:rPr>
          <w:rFonts w:ascii="Times New Roman" w:hAnsi="Times New Roman" w:eastAsia="仿宋_GB2312" w:cs="Times New Roman"/>
          <w:snapToGrid w:val="0"/>
          <w:color w:val="auto"/>
          <w:kern w:val="0"/>
          <w:sz w:val="32"/>
          <w:szCs w:val="32"/>
        </w:rPr>
        <w:t>规范我</w:t>
      </w:r>
      <w:r>
        <w:rPr>
          <w:rFonts w:hint="eastAsia" w:ascii="Times New Roman" w:hAnsi="Times New Roman" w:eastAsia="仿宋_GB2312" w:cs="Times New Roman"/>
          <w:snapToGrid w:val="0"/>
          <w:color w:val="auto"/>
          <w:kern w:val="0"/>
          <w:sz w:val="32"/>
          <w:szCs w:val="32"/>
          <w:lang w:eastAsia="zh-CN"/>
        </w:rPr>
        <w:t>区</w:t>
      </w:r>
      <w:r>
        <w:rPr>
          <w:rFonts w:ascii="Times New Roman" w:hAnsi="Times New Roman" w:eastAsia="仿宋_GB2312" w:cs="Times New Roman"/>
          <w:snapToGrid w:val="0"/>
          <w:color w:val="auto"/>
          <w:kern w:val="0"/>
          <w:sz w:val="32"/>
          <w:szCs w:val="32"/>
        </w:rPr>
        <w:t>文化艺术类校外培训机构</w:t>
      </w:r>
      <w:r>
        <w:rPr>
          <w:rFonts w:hint="eastAsia" w:ascii="Times New Roman" w:hAnsi="Times New Roman" w:eastAsia="仿宋_GB2312" w:cs="Times New Roman"/>
          <w:snapToGrid w:val="0"/>
          <w:color w:val="auto"/>
          <w:kern w:val="0"/>
          <w:sz w:val="32"/>
          <w:szCs w:val="32"/>
        </w:rPr>
        <w:t>管理</w:t>
      </w:r>
      <w:r>
        <w:rPr>
          <w:rFonts w:ascii="Times New Roman" w:hAnsi="Times New Roman" w:eastAsia="仿宋_GB2312" w:cs="Times New Roman"/>
          <w:snapToGrid w:val="0"/>
          <w:color w:val="auto"/>
          <w:kern w:val="0"/>
          <w:sz w:val="32"/>
          <w:szCs w:val="32"/>
        </w:rPr>
        <w:t>，</w:t>
      </w:r>
      <w:r>
        <w:rPr>
          <w:rFonts w:hint="eastAsia" w:ascii="Times New Roman" w:hAnsi="Times New Roman" w:eastAsia="仿宋_GB2312" w:cs="Times New Roman"/>
          <w:snapToGrid w:val="0"/>
          <w:color w:val="auto"/>
          <w:kern w:val="0"/>
          <w:sz w:val="32"/>
          <w:szCs w:val="32"/>
          <w:lang w:eastAsia="zh-CN"/>
        </w:rPr>
        <w:t>依</w:t>
      </w:r>
      <w:r>
        <w:rPr>
          <w:rFonts w:ascii="Times New Roman" w:hAnsi="Times New Roman" w:eastAsia="仿宋_GB2312" w:cs="Times New Roman"/>
          <w:snapToGrid w:val="0"/>
          <w:color w:val="auto"/>
          <w:kern w:val="0"/>
          <w:sz w:val="32"/>
          <w:szCs w:val="32"/>
        </w:rPr>
        <w:t>据</w:t>
      </w:r>
      <w:r>
        <w:rPr>
          <w:rFonts w:hint="eastAsia" w:ascii="Times New Roman" w:hAnsi="Times New Roman" w:eastAsia="仿宋_GB2312" w:cs="Times New Roman"/>
          <w:snapToGrid w:val="0"/>
          <w:color w:val="auto"/>
          <w:kern w:val="0"/>
          <w:sz w:val="32"/>
          <w:szCs w:val="32"/>
          <w:lang w:eastAsia="zh-CN"/>
        </w:rPr>
        <w:t>《安徽省文化艺术类校外培训机构设置标准（试行）》《安徽省文化艺术类校外培训机构审批流程（试行）》《</w:t>
      </w:r>
      <w:r>
        <w:rPr>
          <w:rFonts w:hint="eastAsia" w:ascii="Times New Roman" w:hAnsi="Times New Roman" w:eastAsia="仿宋_GB2312" w:cs="Times New Roman"/>
          <w:snapToGrid w:val="0"/>
          <w:color w:val="auto"/>
          <w:kern w:val="0"/>
          <w:sz w:val="32"/>
          <w:szCs w:val="32"/>
          <w:lang w:val="en-US" w:eastAsia="zh-CN"/>
        </w:rPr>
        <w:t>蚌埠市贯彻执行</w:t>
      </w:r>
      <w:r>
        <w:rPr>
          <w:rFonts w:hint="eastAsia" w:ascii="仿宋" w:hAnsi="仿宋" w:eastAsia="仿宋" w:cs="仿宋"/>
          <w:snapToGrid w:val="0"/>
          <w:color w:val="auto"/>
          <w:kern w:val="0"/>
          <w:sz w:val="32"/>
          <w:szCs w:val="32"/>
          <w:lang w:val="en-US" w:eastAsia="zh-CN"/>
        </w:rPr>
        <w:t>&lt;</w:t>
      </w:r>
      <w:r>
        <w:rPr>
          <w:rFonts w:hint="eastAsia" w:ascii="Times New Roman" w:hAnsi="Times New Roman" w:eastAsia="仿宋_GB2312" w:cs="Times New Roman"/>
          <w:snapToGrid w:val="0"/>
          <w:color w:val="auto"/>
          <w:kern w:val="0"/>
          <w:sz w:val="32"/>
          <w:szCs w:val="32"/>
          <w:lang w:eastAsia="zh-CN"/>
        </w:rPr>
        <w:t>安徽省文化艺术类校外培训机构设置标准（试行）</w:t>
      </w:r>
      <w:r>
        <w:rPr>
          <w:rFonts w:hint="eastAsia" w:ascii="仿宋" w:hAnsi="仿宋" w:eastAsia="仿宋" w:cs="仿宋"/>
          <w:snapToGrid w:val="0"/>
          <w:color w:val="auto"/>
          <w:kern w:val="0"/>
          <w:sz w:val="32"/>
          <w:szCs w:val="32"/>
          <w:lang w:val="en-US" w:eastAsia="zh-CN"/>
        </w:rPr>
        <w:t>&gt;实施细则</w:t>
      </w:r>
      <w:r>
        <w:rPr>
          <w:rFonts w:hint="eastAsia" w:ascii="Times New Roman" w:hAnsi="Times New Roman" w:eastAsia="仿宋_GB2312" w:cs="Times New Roman"/>
          <w:snapToGrid w:val="0"/>
          <w:color w:val="auto"/>
          <w:kern w:val="0"/>
          <w:sz w:val="32"/>
          <w:szCs w:val="32"/>
          <w:lang w:eastAsia="zh-CN"/>
        </w:rPr>
        <w:t>》等有关规定</w:t>
      </w:r>
      <w:r>
        <w:rPr>
          <w:rFonts w:ascii="Times New Roman" w:hAnsi="Times New Roman" w:eastAsia="仿宋_GB2312" w:cs="Times New Roman"/>
          <w:snapToGrid w:val="0"/>
          <w:color w:val="auto"/>
          <w:kern w:val="0"/>
          <w:sz w:val="32"/>
          <w:szCs w:val="32"/>
        </w:rPr>
        <w:t>，</w:t>
      </w:r>
      <w:r>
        <w:rPr>
          <w:rFonts w:hint="eastAsia" w:ascii="Times New Roman" w:hAnsi="Times New Roman" w:eastAsia="仿宋_GB2312" w:cs="Times New Roman"/>
          <w:snapToGrid w:val="0"/>
          <w:color w:val="auto"/>
          <w:kern w:val="0"/>
          <w:sz w:val="32"/>
          <w:szCs w:val="32"/>
        </w:rPr>
        <w:t>结合我</w:t>
      </w:r>
      <w:r>
        <w:rPr>
          <w:rFonts w:hint="eastAsia" w:ascii="Times New Roman" w:hAnsi="Times New Roman" w:eastAsia="仿宋_GB2312" w:cs="Times New Roman"/>
          <w:snapToGrid w:val="0"/>
          <w:color w:val="auto"/>
          <w:kern w:val="0"/>
          <w:sz w:val="32"/>
          <w:szCs w:val="32"/>
          <w:lang w:eastAsia="zh-CN"/>
        </w:rPr>
        <w:t>区</w:t>
      </w:r>
      <w:r>
        <w:rPr>
          <w:rFonts w:hint="eastAsia" w:ascii="Times New Roman" w:hAnsi="Times New Roman" w:eastAsia="仿宋_GB2312" w:cs="Times New Roman"/>
          <w:snapToGrid w:val="0"/>
          <w:color w:val="auto"/>
          <w:kern w:val="0"/>
          <w:sz w:val="32"/>
          <w:szCs w:val="32"/>
        </w:rPr>
        <w:t>实际，</w:t>
      </w:r>
      <w:r>
        <w:rPr>
          <w:rFonts w:ascii="Times New Roman" w:hAnsi="Times New Roman" w:eastAsia="仿宋_GB2312" w:cs="Times New Roman"/>
          <w:snapToGrid w:val="0"/>
          <w:color w:val="auto"/>
          <w:kern w:val="0"/>
          <w:sz w:val="32"/>
          <w:szCs w:val="32"/>
        </w:rPr>
        <w:t>制定本</w:t>
      </w:r>
      <w:r>
        <w:rPr>
          <w:rFonts w:hint="eastAsia" w:ascii="Times New Roman" w:hAnsi="Times New Roman" w:eastAsia="仿宋_GB2312" w:cs="Times New Roman"/>
          <w:snapToGrid w:val="0"/>
          <w:color w:val="auto"/>
          <w:kern w:val="0"/>
          <w:sz w:val="32"/>
          <w:szCs w:val="32"/>
          <w:lang w:val="en-US" w:eastAsia="zh-CN"/>
        </w:rPr>
        <w:t>暂行补充规定</w:t>
      </w:r>
      <w:r>
        <w:rPr>
          <w:rFonts w:ascii="Times New Roman" w:hAnsi="Times New Roman" w:eastAsia="仿宋_GB2312" w:cs="Times New Roman"/>
          <w:snapToGrid w:val="0"/>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12"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snapToGrid w:val="0"/>
          <w:color w:val="auto"/>
          <w:kern w:val="0"/>
          <w:sz w:val="32"/>
          <w:szCs w:val="32"/>
          <w:lang w:eastAsia="zh-CN"/>
        </w:rPr>
        <w:t>第</w:t>
      </w:r>
      <w:r>
        <w:rPr>
          <w:rFonts w:hint="eastAsia" w:ascii="Times New Roman" w:hAnsi="Times New Roman" w:eastAsia="仿宋_GB2312"/>
          <w:snapToGrid w:val="0"/>
          <w:color w:val="auto"/>
          <w:kern w:val="0"/>
          <w:sz w:val="32"/>
          <w:szCs w:val="32"/>
          <w:lang w:val="en-US" w:eastAsia="zh-CN"/>
        </w:rPr>
        <w:t>二</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w:t>
      </w:r>
      <w:r>
        <w:rPr>
          <w:rFonts w:ascii="Times New Roman" w:hAnsi="Times New Roman" w:eastAsia="仿宋_GB2312" w:cs="Times New Roman"/>
          <w:snapToGrid w:val="0"/>
          <w:color w:val="auto"/>
          <w:kern w:val="0"/>
          <w:sz w:val="32"/>
          <w:szCs w:val="32"/>
        </w:rPr>
        <w:t>举办者应</w:t>
      </w:r>
      <w:r>
        <w:rPr>
          <w:rFonts w:hint="eastAsia" w:ascii="Times New Roman" w:hAnsi="Times New Roman" w:eastAsia="仿宋_GB2312" w:cs="Times New Roman"/>
          <w:snapToGrid w:val="0"/>
          <w:color w:val="auto"/>
          <w:kern w:val="0"/>
          <w:sz w:val="32"/>
          <w:szCs w:val="32"/>
          <w:lang w:val="en-US" w:eastAsia="zh-CN"/>
        </w:rPr>
        <w:t>在具备</w:t>
      </w:r>
      <w:r>
        <w:rPr>
          <w:rFonts w:hint="eastAsia" w:ascii="仿宋_GB2312" w:hAnsi="仿宋_GB2312" w:eastAsia="仿宋_GB2312" w:cs="仿宋_GB2312"/>
          <w:sz w:val="32"/>
          <w:szCs w:val="32"/>
          <w:lang w:val="en-US" w:eastAsia="zh-CN"/>
        </w:rPr>
        <w:t>调拨同步、数据保管和传输安全、资金监管和调拨安全，并具备向蚌山区文化和旅游局实时推送专户交易信息的银行开设资金托管专用账户（培训收费专用账户）和风险保证金专用账户。</w:t>
      </w:r>
    </w:p>
    <w:p>
      <w:pPr>
        <w:spacing w:line="560" w:lineRule="exact"/>
        <w:ind w:firstLine="612" w:firstLineChars="200"/>
        <w:rPr>
          <w:rFonts w:hint="default" w:ascii="Times New Roman" w:hAnsi="Times New Roman" w:eastAsia="仿宋_GB2312"/>
          <w:snapToGrid w:val="0"/>
          <w:color w:val="auto"/>
          <w:kern w:val="0"/>
          <w:sz w:val="32"/>
          <w:szCs w:val="32"/>
          <w:lang w:val="en-US" w:eastAsia="zh-CN"/>
        </w:rPr>
      </w:pPr>
      <w:r>
        <w:rPr>
          <w:rFonts w:hint="eastAsia" w:ascii="Times New Roman" w:hAnsi="Times New Roman" w:eastAsia="仿宋_GB2312" w:cs="Times New Roman"/>
          <w:snapToGrid w:val="0"/>
          <w:color w:val="auto"/>
          <w:kern w:val="0"/>
          <w:sz w:val="32"/>
          <w:szCs w:val="32"/>
          <w:lang w:val="en-US" w:eastAsia="zh-CN"/>
        </w:rPr>
        <w:t>第三条 培训机构应在新课前，按照收费项目及标准据实将向学员预收的费用全额缴入经备案的</w:t>
      </w:r>
      <w:r>
        <w:rPr>
          <w:rFonts w:hint="eastAsia" w:ascii="仿宋_GB2312" w:hAnsi="仿宋_GB2312" w:eastAsia="仿宋_GB2312" w:cs="仿宋_GB2312"/>
          <w:sz w:val="32"/>
          <w:szCs w:val="32"/>
          <w:lang w:val="en-US" w:eastAsia="zh-CN"/>
        </w:rPr>
        <w:t>资金托管专用账户（培训收费专用账户）</w:t>
      </w:r>
      <w:r>
        <w:rPr>
          <w:rFonts w:ascii="Times New Roman" w:hAnsi="Times New Roman" w:eastAsia="仿宋_GB2312" w:cs="Times New Roman"/>
          <w:snapToGrid w:val="0"/>
          <w:color w:val="auto"/>
          <w:kern w:val="0"/>
          <w:sz w:val="32"/>
          <w:szCs w:val="32"/>
        </w:rPr>
        <w:t>。</w:t>
      </w:r>
      <w:r>
        <w:rPr>
          <w:rFonts w:hint="eastAsia" w:ascii="Times New Roman" w:hAnsi="Times New Roman" w:eastAsia="仿宋_GB2312" w:cs="Times New Roman"/>
          <w:snapToGrid w:val="0"/>
          <w:color w:val="auto"/>
          <w:kern w:val="0"/>
          <w:sz w:val="32"/>
          <w:szCs w:val="32"/>
          <w:lang w:val="en-US" w:eastAsia="zh-CN"/>
        </w:rPr>
        <w:t>以现金等形式收取的应于当日最迟次日全部归集到资金托管专用账户，做到全部预收费“应托管、尽托管”。</w:t>
      </w:r>
    </w:p>
    <w:p>
      <w:pPr>
        <w:pStyle w:val="8"/>
        <w:numPr>
          <w:ilvl w:val="0"/>
          <w:numId w:val="0"/>
        </w:numPr>
        <w:shd w:val="clear" w:color="auto" w:fill="auto"/>
        <w:adjustRightInd w:val="0"/>
        <w:snapToGrid w:val="0"/>
        <w:spacing w:line="600" w:lineRule="exact"/>
        <w:ind w:firstLine="612" w:firstLineChars="200"/>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napToGrid w:val="0"/>
          <w:color w:val="auto"/>
          <w:kern w:val="0"/>
          <w:sz w:val="32"/>
          <w:szCs w:val="32"/>
          <w:lang w:eastAsia="zh-CN"/>
        </w:rPr>
        <w:t>第</w:t>
      </w:r>
      <w:r>
        <w:rPr>
          <w:rFonts w:hint="eastAsia" w:ascii="Times New Roman" w:hAnsi="Times New Roman" w:eastAsia="仿宋_GB2312" w:cs="Times New Roman"/>
          <w:snapToGrid w:val="0"/>
          <w:color w:val="auto"/>
          <w:kern w:val="0"/>
          <w:sz w:val="32"/>
          <w:szCs w:val="32"/>
          <w:lang w:val="en-US" w:eastAsia="zh-CN"/>
        </w:rPr>
        <w:t>四</w:t>
      </w:r>
      <w:r>
        <w:rPr>
          <w:rFonts w:hint="eastAsia" w:ascii="Times New Roman" w:hAnsi="Times New Roman" w:eastAsia="仿宋_GB2312" w:cs="Times New Roman"/>
          <w:snapToGrid w:val="0"/>
          <w:color w:val="auto"/>
          <w:kern w:val="0"/>
          <w:sz w:val="32"/>
          <w:szCs w:val="32"/>
          <w:lang w:eastAsia="zh-CN"/>
        </w:rPr>
        <w:t>条</w:t>
      </w:r>
      <w:r>
        <w:rPr>
          <w:rFonts w:hint="eastAsia" w:ascii="Times New Roman" w:hAnsi="Times New Roman" w:eastAsia="仿宋_GB2312" w:cs="Times New Roman"/>
          <w:snapToGrid w:val="0"/>
          <w:color w:val="auto"/>
          <w:kern w:val="0"/>
          <w:sz w:val="32"/>
          <w:szCs w:val="32"/>
          <w:lang w:val="en-US" w:eastAsia="zh-CN"/>
        </w:rPr>
        <w:t xml:space="preserve"> 风险保证金作为校外培训机构履行培训服务承诺和退费的资金保证，必须在机构获得审批备案前按规定的金额缴入</w:t>
      </w:r>
      <w:r>
        <w:rPr>
          <w:rFonts w:hint="eastAsia" w:ascii="仿宋_GB2312" w:hAnsi="仿宋_GB2312" w:eastAsia="仿宋_GB2312" w:cs="仿宋_GB2312"/>
          <w:sz w:val="32"/>
          <w:szCs w:val="32"/>
          <w:lang w:val="en-US" w:eastAsia="zh-CN"/>
        </w:rPr>
        <w:t>风险保证金专用账户。</w:t>
      </w:r>
    </w:p>
    <w:p>
      <w:pPr>
        <w:pStyle w:val="8"/>
        <w:numPr>
          <w:ilvl w:val="0"/>
          <w:numId w:val="0"/>
        </w:numPr>
        <w:shd w:val="clear" w:color="auto" w:fill="auto"/>
        <w:adjustRightInd w:val="0"/>
        <w:snapToGrid w:val="0"/>
        <w:spacing w:line="600" w:lineRule="exact"/>
        <w:ind w:firstLine="612" w:firstLineChars="200"/>
        <w:rPr>
          <w:rFonts w:ascii="Times New Roman" w:hAnsi="Times New Roman" w:eastAsia="仿宋_GB2312" w:cs="Times New Roman"/>
          <w:snapToGrid w:val="0"/>
          <w:color w:val="auto"/>
          <w:kern w:val="0"/>
          <w:sz w:val="32"/>
          <w:szCs w:val="32"/>
        </w:rPr>
      </w:pPr>
      <w:r>
        <w:rPr>
          <w:rFonts w:hint="eastAsia" w:ascii="仿宋_GB2312" w:hAnsi="仿宋_GB2312" w:eastAsia="仿宋_GB2312" w:cs="仿宋_GB2312"/>
          <w:sz w:val="32"/>
          <w:szCs w:val="32"/>
          <w:lang w:val="en-US" w:eastAsia="zh-CN"/>
        </w:rPr>
        <w:t>第五条  风险保证金的金额由校外培训机构培训学员的数量确定，培训人数50人（含50人）以内的交纳风险保证金不少于5万元；50—100人（含100人）为10万元，100—150人（含150人）为15万元；多于150人（含150人），每增加100人，风险保证金增加5万元，以此类推，上不封顶。</w:t>
      </w:r>
    </w:p>
    <w:p>
      <w:pPr>
        <w:spacing w:line="560" w:lineRule="exact"/>
        <w:ind w:firstLine="612" w:firstLineChars="200"/>
        <w:rPr>
          <w:rFonts w:hint="default" w:ascii="Times New Roman" w:hAnsi="Times New Roman" w:eastAsia="仿宋_GB2312" w:cs="Times New Roman"/>
          <w:snapToGrid w:val="0"/>
          <w:color w:val="auto"/>
          <w:kern w:val="0"/>
          <w:sz w:val="32"/>
          <w:szCs w:val="32"/>
          <w:lang w:val="en-US" w:eastAsia="zh-CN"/>
        </w:rPr>
      </w:pPr>
      <w:r>
        <w:rPr>
          <w:rFonts w:hint="eastAsia" w:ascii="Times New Roman" w:hAnsi="Times New Roman" w:eastAsia="仿宋_GB2312" w:cs="Times New Roman"/>
          <w:snapToGrid w:val="0"/>
          <w:color w:val="auto"/>
          <w:kern w:val="0"/>
          <w:sz w:val="32"/>
          <w:szCs w:val="32"/>
          <w:lang w:val="en-US" w:eastAsia="zh-CN"/>
        </w:rPr>
        <w:t>第六条</w:t>
      </w:r>
      <w:r>
        <w:rPr>
          <w:rFonts w:hint="eastAsia" w:ascii="Times New Roman" w:hAnsi="Times New Roman" w:eastAsia="仿宋_GB2312" w:cs="Times New Roman"/>
          <w:snapToGrid w:val="0"/>
          <w:color w:val="auto"/>
          <w:kern w:val="0"/>
          <w:sz w:val="32"/>
          <w:szCs w:val="32"/>
          <w:lang w:val="en-US" w:eastAsia="zh-CN"/>
        </w:rPr>
        <w:t xml:space="preserve"> 校外培训机构履行培训服务承诺好，</w:t>
      </w:r>
      <w:r>
        <w:rPr>
          <w:rFonts w:hint="default" w:ascii="Times New Roman" w:hAnsi="Times New Roman" w:eastAsia="仿宋_GB2312" w:cs="Times New Roman"/>
          <w:snapToGrid w:val="0"/>
          <w:color w:val="auto"/>
          <w:kern w:val="0"/>
          <w:sz w:val="32"/>
          <w:szCs w:val="32"/>
          <w:lang w:val="en-US" w:eastAsia="zh-CN"/>
        </w:rPr>
        <w:t>办学质量</w:t>
      </w:r>
      <w:r>
        <w:rPr>
          <w:rFonts w:hint="eastAsia" w:ascii="Times New Roman" w:hAnsi="Times New Roman" w:eastAsia="仿宋_GB2312" w:cs="Times New Roman"/>
          <w:snapToGrid w:val="0"/>
          <w:color w:val="auto"/>
          <w:kern w:val="0"/>
          <w:sz w:val="32"/>
          <w:szCs w:val="32"/>
          <w:lang w:val="en-US" w:eastAsia="zh-CN"/>
        </w:rPr>
        <w:t>、服务水平得到</w:t>
      </w:r>
      <w:r>
        <w:rPr>
          <w:rFonts w:hint="default" w:ascii="Times New Roman" w:hAnsi="Times New Roman" w:eastAsia="仿宋_GB2312" w:cs="Times New Roman"/>
          <w:snapToGrid w:val="0"/>
          <w:color w:val="auto"/>
          <w:kern w:val="0"/>
          <w:sz w:val="32"/>
          <w:szCs w:val="32"/>
          <w:lang w:val="en-US" w:eastAsia="zh-CN"/>
        </w:rPr>
        <w:t>群众</w:t>
      </w:r>
      <w:r>
        <w:rPr>
          <w:rFonts w:hint="eastAsia" w:ascii="Times New Roman" w:hAnsi="Times New Roman" w:eastAsia="仿宋_GB2312" w:cs="Times New Roman"/>
          <w:snapToGrid w:val="0"/>
          <w:color w:val="auto"/>
          <w:kern w:val="0"/>
          <w:sz w:val="32"/>
          <w:szCs w:val="32"/>
          <w:lang w:val="en-US" w:eastAsia="zh-CN"/>
        </w:rPr>
        <w:t>一致</w:t>
      </w:r>
      <w:r>
        <w:rPr>
          <w:rFonts w:hint="default" w:ascii="Times New Roman" w:hAnsi="Times New Roman" w:eastAsia="仿宋_GB2312" w:cs="Times New Roman"/>
          <w:snapToGrid w:val="0"/>
          <w:color w:val="auto"/>
          <w:kern w:val="0"/>
          <w:sz w:val="32"/>
          <w:szCs w:val="32"/>
          <w:lang w:val="en-US" w:eastAsia="zh-CN"/>
        </w:rPr>
        <w:t>认</w:t>
      </w:r>
      <w:r>
        <w:rPr>
          <w:rFonts w:hint="eastAsia" w:ascii="Times New Roman" w:hAnsi="Times New Roman" w:eastAsia="仿宋_GB2312" w:cs="Times New Roman"/>
          <w:snapToGrid w:val="0"/>
          <w:color w:val="auto"/>
          <w:kern w:val="0"/>
          <w:sz w:val="32"/>
          <w:szCs w:val="32"/>
          <w:lang w:val="en-US" w:eastAsia="zh-CN"/>
        </w:rPr>
        <w:t>可的</w:t>
      </w:r>
      <w:r>
        <w:rPr>
          <w:rFonts w:hint="default" w:ascii="Times New Roman" w:hAnsi="Times New Roman" w:eastAsia="仿宋_GB2312" w:cs="Times New Roman"/>
          <w:snapToGrid w:val="0"/>
          <w:color w:val="auto"/>
          <w:kern w:val="0"/>
          <w:sz w:val="32"/>
          <w:szCs w:val="32"/>
          <w:lang w:val="en-US" w:eastAsia="zh-CN"/>
        </w:rPr>
        <w:t>可适当调减额度；对日常投诉多、</w:t>
      </w:r>
      <w:r>
        <w:rPr>
          <w:rFonts w:hint="eastAsia" w:ascii="Times New Roman" w:hAnsi="Times New Roman" w:eastAsia="仿宋_GB2312" w:cs="Times New Roman"/>
          <w:snapToGrid w:val="0"/>
          <w:color w:val="auto"/>
          <w:kern w:val="0"/>
          <w:sz w:val="32"/>
          <w:szCs w:val="32"/>
          <w:lang w:val="en-US" w:eastAsia="zh-CN"/>
        </w:rPr>
        <w:t>学员对投诉处理不满意、</w:t>
      </w:r>
      <w:r>
        <w:rPr>
          <w:rFonts w:hint="default" w:ascii="Times New Roman" w:hAnsi="Times New Roman" w:eastAsia="仿宋_GB2312" w:cs="Times New Roman"/>
          <w:snapToGrid w:val="0"/>
          <w:color w:val="auto"/>
          <w:kern w:val="0"/>
          <w:sz w:val="32"/>
          <w:szCs w:val="32"/>
          <w:lang w:val="en-US" w:eastAsia="zh-CN"/>
        </w:rPr>
        <w:t>存在“地下交易”“阴阳合同”等违规行为的校外培训机构可适当提升额度。调减比例原则上不超过原基础的30%，调增比例原则上不超过原基础的10%，调整次数原则上每年不超过1次。</w:t>
      </w:r>
    </w:p>
    <w:p>
      <w:pPr>
        <w:spacing w:line="560" w:lineRule="exact"/>
        <w:ind w:firstLine="612" w:firstLineChars="200"/>
        <w:rPr>
          <w:rFonts w:hint="eastAsia" w:ascii="Times New Roman" w:hAnsi="Times New Roman" w:eastAsia="仿宋_GB2312" w:cs="Times New Roman"/>
          <w:snapToGrid w:val="0"/>
          <w:color w:val="auto"/>
          <w:kern w:val="0"/>
          <w:sz w:val="32"/>
          <w:szCs w:val="32"/>
          <w:lang w:val="en-US" w:eastAsia="zh-CN"/>
        </w:rPr>
      </w:pPr>
      <w:r>
        <w:rPr>
          <w:rFonts w:hint="eastAsia" w:ascii="Times New Roman" w:hAnsi="Times New Roman" w:eastAsia="仿宋_GB2312" w:cs="Times New Roman"/>
          <w:snapToGrid w:val="0"/>
          <w:color w:val="auto"/>
          <w:kern w:val="0"/>
          <w:sz w:val="32"/>
          <w:szCs w:val="32"/>
          <w:lang w:val="en-US" w:eastAsia="zh-CN"/>
        </w:rPr>
        <w:t>第七条  校外培训机构应于新学员开课前，向蚌山区文化和旅游报备学员花名册、学员联系方式和本期培训计划。</w:t>
      </w:r>
    </w:p>
    <w:p>
      <w:pPr>
        <w:spacing w:line="560" w:lineRule="exact"/>
        <w:ind w:firstLine="612" w:firstLineChars="200"/>
        <w:rPr>
          <w:rFonts w:hint="default" w:ascii="Times New Roman" w:hAnsi="Times New Roman" w:eastAsia="仿宋_GB2312" w:cs="Times New Roman"/>
          <w:snapToGrid w:val="0"/>
          <w:color w:val="auto"/>
          <w:kern w:val="0"/>
          <w:sz w:val="32"/>
          <w:szCs w:val="32"/>
          <w:lang w:val="en-US" w:eastAsia="zh-CN"/>
        </w:rPr>
      </w:pPr>
      <w:r>
        <w:rPr>
          <w:rFonts w:hint="eastAsia" w:ascii="Times New Roman" w:hAnsi="Times New Roman" w:eastAsia="仿宋_GB2312" w:cs="Times New Roman"/>
          <w:snapToGrid w:val="0"/>
          <w:color w:val="auto"/>
          <w:kern w:val="0"/>
          <w:sz w:val="32"/>
          <w:szCs w:val="32"/>
          <w:lang w:val="en-US" w:eastAsia="zh-CN"/>
        </w:rPr>
        <w:t>第八条  资金托管专用账户中的资金拨付须与授课进度同步、同比例，实行“消拨同步”。授课开始后拨付预收资金的30%；授课完成50%课时时再拨付预收资金的20%；授课完成75%课时时再拨付预收资金的25%；授课完成时，校外培训机构在本机构内，面向学员对培训计划完成情况进行公示，公示期一般不少于3天，且学员对机构履行培训服务无异议时，再拨付预收费资金的25%。</w:t>
      </w:r>
    </w:p>
    <w:p>
      <w:pPr>
        <w:spacing w:line="560" w:lineRule="exact"/>
        <w:ind w:firstLine="612" w:firstLineChars="200"/>
        <w:rPr>
          <w:rFonts w:hint="eastAsia" w:ascii="Times New Roman" w:hAnsi="Times New Roman" w:eastAsia="仿宋_GB2312" w:cs="Times New Roman"/>
          <w:snapToGrid w:val="0"/>
          <w:color w:val="auto"/>
          <w:kern w:val="0"/>
          <w:sz w:val="32"/>
          <w:szCs w:val="32"/>
          <w:lang w:val="en-US" w:eastAsia="zh-CN"/>
        </w:rPr>
      </w:pPr>
      <w:r>
        <w:rPr>
          <w:rFonts w:hint="eastAsia" w:ascii="Times New Roman" w:hAnsi="Times New Roman" w:eastAsia="仿宋_GB2312" w:cs="Times New Roman"/>
          <w:snapToGrid w:val="0"/>
          <w:color w:val="auto"/>
          <w:kern w:val="0"/>
          <w:sz w:val="32"/>
          <w:szCs w:val="32"/>
          <w:lang w:val="en-US" w:eastAsia="zh-CN"/>
        </w:rPr>
        <w:t>第</w:t>
      </w:r>
      <w:r>
        <w:rPr>
          <w:rFonts w:hint="eastAsia" w:ascii="Times New Roman" w:hAnsi="Times New Roman" w:eastAsia="仿宋_GB2312" w:cs="Times New Roman"/>
          <w:snapToGrid w:val="0"/>
          <w:color w:val="auto"/>
          <w:kern w:val="0"/>
          <w:sz w:val="32"/>
          <w:szCs w:val="32"/>
          <w:lang w:val="en-US" w:eastAsia="zh-CN"/>
        </w:rPr>
        <w:t>九条</w:t>
      </w:r>
      <w:r>
        <w:rPr>
          <w:rFonts w:hint="eastAsia" w:ascii="Times New Roman" w:hAnsi="Times New Roman" w:eastAsia="仿宋_GB2312" w:cs="Times New Roman"/>
          <w:snapToGrid w:val="0"/>
          <w:color w:val="auto"/>
          <w:kern w:val="0"/>
          <w:sz w:val="32"/>
          <w:szCs w:val="32"/>
          <w:lang w:val="en-US" w:eastAsia="zh-CN"/>
        </w:rPr>
        <w:t xml:space="preserve"> 戏剧舞蹈类培训机构单独培训场所（不含两个以上教学点合计）建筑面积应不少于300平方米。其中，教学用房建筑面积不少于场所总建筑面积的三分之二，且同一培训时段内生均教学用房建筑面积不少于6平方米。其它类培训机构单独培训场所，教学用房的建筑面积不少于100平方米，且同一培训时段内</w:t>
      </w:r>
      <w:bookmarkStart w:id="0" w:name="_GoBack"/>
      <w:r>
        <w:rPr>
          <w:rFonts w:hint="eastAsia" w:ascii="Times New Roman" w:hAnsi="Times New Roman" w:eastAsia="仿宋_GB2312" w:cs="Times New Roman"/>
          <w:snapToGrid w:val="0"/>
          <w:color w:val="auto"/>
          <w:kern w:val="0"/>
          <w:sz w:val="32"/>
          <w:szCs w:val="32"/>
          <w:lang w:val="en-US" w:eastAsia="zh-CN"/>
        </w:rPr>
        <w:t>生均教学用房建筑面积</w:t>
      </w:r>
      <w:bookmarkEnd w:id="0"/>
      <w:r>
        <w:rPr>
          <w:rFonts w:hint="eastAsia" w:ascii="Times New Roman" w:hAnsi="Times New Roman" w:eastAsia="仿宋_GB2312" w:cs="Times New Roman"/>
          <w:snapToGrid w:val="0"/>
          <w:color w:val="auto"/>
          <w:kern w:val="0"/>
          <w:sz w:val="32"/>
          <w:szCs w:val="32"/>
          <w:lang w:val="en-US" w:eastAsia="zh-CN"/>
        </w:rPr>
        <w:t>不少于3平方米。</w:t>
      </w:r>
    </w:p>
    <w:p>
      <w:pPr>
        <w:pStyle w:val="4"/>
        <w:adjustRightInd w:val="0"/>
        <w:snapToGrid w:val="0"/>
        <w:spacing w:before="0" w:beforeAutospacing="0" w:after="0" w:afterAutospacing="0" w:line="600" w:lineRule="exact"/>
        <w:ind w:firstLine="612" w:firstLineChars="200"/>
        <w:jc w:val="both"/>
        <w:rPr>
          <w:rFonts w:ascii="Times New Roman" w:hAnsi="Times New Roman" w:eastAsia="仿宋_GB2312"/>
          <w:snapToGrid w:val="0"/>
          <w:color w:val="000000"/>
          <w:sz w:val="32"/>
          <w:szCs w:val="32"/>
        </w:rPr>
      </w:pPr>
      <w:r>
        <w:rPr>
          <w:rFonts w:hint="eastAsia" w:ascii="Times New Roman" w:hAnsi="Times New Roman" w:eastAsia="仿宋_GB2312"/>
          <w:snapToGrid w:val="0"/>
          <w:color w:val="000000"/>
          <w:sz w:val="32"/>
          <w:szCs w:val="32"/>
        </w:rPr>
        <w:t>招收</w:t>
      </w:r>
      <w:r>
        <w:rPr>
          <w:rFonts w:hint="eastAsia" w:ascii="Times New Roman" w:hAnsi="Times New Roman" w:eastAsia="仿宋_GB2312"/>
          <w:snapToGrid w:val="0"/>
          <w:color w:val="000000"/>
          <w:sz w:val="32"/>
          <w:szCs w:val="32"/>
          <w:lang w:val="en-US" w:eastAsia="zh-CN"/>
        </w:rPr>
        <w:t>7至14周岁未成年人</w:t>
      </w:r>
      <w:r>
        <w:rPr>
          <w:rFonts w:hint="eastAsia" w:ascii="Times New Roman" w:hAnsi="Times New Roman" w:eastAsia="仿宋_GB2312"/>
          <w:snapToGrid w:val="0"/>
          <w:color w:val="000000"/>
          <w:sz w:val="32"/>
          <w:szCs w:val="32"/>
        </w:rPr>
        <w:t>的培训机构，教学用房应设在三层以下（含三层）；招收14周岁以上未成年人的培训机构，教学用房应设在</w:t>
      </w:r>
      <w:r>
        <w:rPr>
          <w:rFonts w:hint="eastAsia" w:ascii="Times New Roman" w:hAnsi="Times New Roman" w:eastAsia="仿宋_GB2312"/>
          <w:snapToGrid w:val="0"/>
          <w:color w:val="000000"/>
          <w:sz w:val="32"/>
          <w:szCs w:val="32"/>
          <w:lang w:eastAsia="zh-CN"/>
        </w:rPr>
        <w:t>四</w:t>
      </w:r>
      <w:r>
        <w:rPr>
          <w:rFonts w:hint="eastAsia" w:ascii="Times New Roman" w:hAnsi="Times New Roman" w:eastAsia="仿宋_GB2312"/>
          <w:snapToGrid w:val="0"/>
          <w:color w:val="000000"/>
          <w:sz w:val="32"/>
          <w:szCs w:val="32"/>
        </w:rPr>
        <w:t>层以下（含</w:t>
      </w:r>
      <w:r>
        <w:rPr>
          <w:rFonts w:hint="eastAsia" w:ascii="Times New Roman" w:hAnsi="Times New Roman" w:eastAsia="仿宋_GB2312"/>
          <w:snapToGrid w:val="0"/>
          <w:color w:val="000000"/>
          <w:sz w:val="32"/>
          <w:szCs w:val="32"/>
          <w:lang w:eastAsia="zh-CN"/>
        </w:rPr>
        <w:t>四</w:t>
      </w:r>
      <w:r>
        <w:rPr>
          <w:rFonts w:hint="eastAsia" w:ascii="Times New Roman" w:hAnsi="Times New Roman" w:eastAsia="仿宋_GB2312"/>
          <w:snapToGrid w:val="0"/>
          <w:color w:val="000000"/>
          <w:sz w:val="32"/>
          <w:szCs w:val="32"/>
        </w:rPr>
        <w:t>层）。</w:t>
      </w:r>
    </w:p>
    <w:p>
      <w:pPr>
        <w:pStyle w:val="4"/>
        <w:adjustRightInd w:val="0"/>
        <w:snapToGrid w:val="0"/>
        <w:spacing w:before="0" w:beforeAutospacing="0" w:after="0" w:afterAutospacing="0" w:line="580" w:lineRule="exact"/>
        <w:ind w:firstLine="612" w:firstLineChars="200"/>
        <w:jc w:val="both"/>
        <w:rPr>
          <w:rFonts w:ascii="Times New Roman" w:hAnsi="Times New Roman" w:eastAsia="仿宋_GB2312"/>
          <w:snapToGrid w:val="0"/>
          <w:color w:val="auto"/>
          <w:sz w:val="32"/>
          <w:szCs w:val="32"/>
        </w:rPr>
      </w:pPr>
      <w:r>
        <w:rPr>
          <w:rFonts w:hint="eastAsia" w:ascii="Times New Roman" w:hAnsi="Times New Roman" w:eastAsia="仿宋_GB2312"/>
          <w:color w:val="auto"/>
          <w:sz w:val="32"/>
          <w:szCs w:val="32"/>
          <w:lang w:eastAsia="zh-CN"/>
        </w:rPr>
        <w:t>第</w:t>
      </w:r>
      <w:r>
        <w:rPr>
          <w:rFonts w:hint="eastAsia" w:ascii="Times New Roman" w:hAnsi="Times New Roman" w:eastAsia="仿宋_GB2312"/>
          <w:color w:val="auto"/>
          <w:sz w:val="32"/>
          <w:szCs w:val="32"/>
          <w:lang w:val="en-US" w:eastAsia="zh-CN"/>
        </w:rPr>
        <w:t>十</w:t>
      </w:r>
      <w:r>
        <w:rPr>
          <w:rFonts w:hint="eastAsia" w:ascii="Times New Roman" w:hAnsi="Times New Roman" w:eastAsia="仿宋_GB2312"/>
          <w:color w:val="auto"/>
          <w:sz w:val="32"/>
          <w:szCs w:val="32"/>
          <w:lang w:eastAsia="zh-CN"/>
        </w:rPr>
        <w:t>条</w:t>
      </w:r>
      <w:r>
        <w:rPr>
          <w:rFonts w:hint="eastAsia" w:ascii="Times New Roman" w:hAnsi="Times New Roman" w:eastAsia="仿宋_GB2312"/>
          <w:color w:val="auto"/>
          <w:sz w:val="32"/>
          <w:szCs w:val="32"/>
          <w:lang w:val="en-US" w:eastAsia="zh-CN"/>
        </w:rPr>
        <w:t xml:space="preserve"> </w:t>
      </w:r>
      <w:r>
        <w:rPr>
          <w:rFonts w:ascii="Times New Roman" w:hAnsi="Times New Roman" w:eastAsia="仿宋_GB2312"/>
          <w:color w:val="auto"/>
          <w:sz w:val="32"/>
          <w:szCs w:val="32"/>
        </w:rPr>
        <w:t>培训场所应当</w:t>
      </w:r>
      <w:r>
        <w:rPr>
          <w:rFonts w:ascii="Times New Roman" w:hAnsi="Times New Roman" w:eastAsia="仿宋_GB2312"/>
          <w:snapToGrid w:val="0"/>
          <w:color w:val="auto"/>
          <w:sz w:val="32"/>
          <w:szCs w:val="32"/>
        </w:rPr>
        <w:t>符合建筑安全、消防、卫生、抗震等安全要求，建立“人防、物防、技防”三位一体的安全防范体系。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12" w:firstLineChars="200"/>
        <w:jc w:val="lef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snapToGrid w:val="0"/>
          <w:color w:val="auto"/>
          <w:sz w:val="32"/>
          <w:szCs w:val="32"/>
          <w:lang w:eastAsia="zh-CN"/>
        </w:rPr>
        <w:t>第</w:t>
      </w:r>
      <w:r>
        <w:rPr>
          <w:rFonts w:hint="eastAsia" w:ascii="Times New Roman" w:hAnsi="Times New Roman" w:eastAsia="仿宋_GB2312"/>
          <w:snapToGrid w:val="0"/>
          <w:color w:val="auto"/>
          <w:sz w:val="32"/>
          <w:szCs w:val="32"/>
          <w:lang w:val="en-US" w:eastAsia="zh-CN"/>
        </w:rPr>
        <w:t>十一</w:t>
      </w:r>
      <w:r>
        <w:rPr>
          <w:rFonts w:hint="eastAsia" w:ascii="Times New Roman" w:hAnsi="Times New Roman" w:eastAsia="仿宋_GB2312"/>
          <w:snapToGrid w:val="0"/>
          <w:color w:val="auto"/>
          <w:sz w:val="32"/>
          <w:szCs w:val="32"/>
          <w:lang w:eastAsia="zh-CN"/>
        </w:rPr>
        <w:t>条</w:t>
      </w:r>
      <w:r>
        <w:rPr>
          <w:rFonts w:hint="eastAsia" w:ascii="Times New Roman" w:hAnsi="Times New Roman" w:eastAsia="仿宋_GB2312"/>
          <w:snapToGrid w:val="0"/>
          <w:color w:val="auto"/>
          <w:sz w:val="32"/>
          <w:szCs w:val="32"/>
          <w:lang w:val="en-US" w:eastAsia="zh-CN"/>
        </w:rPr>
        <w:t xml:space="preserve"> </w:t>
      </w:r>
      <w:r>
        <w:rPr>
          <w:rFonts w:ascii="Times New Roman" w:hAnsi="Times New Roman" w:eastAsia="仿宋_GB2312"/>
          <w:snapToGrid w:val="0"/>
          <w:color w:val="auto"/>
          <w:sz w:val="32"/>
          <w:szCs w:val="32"/>
        </w:rPr>
        <w:t>培训机构应</w:t>
      </w:r>
      <w:r>
        <w:rPr>
          <w:rFonts w:hint="eastAsia" w:ascii="Times New Roman" w:hAnsi="Times New Roman" w:eastAsia="仿宋_GB2312"/>
          <w:snapToGrid w:val="0"/>
          <w:color w:val="auto"/>
          <w:sz w:val="32"/>
          <w:szCs w:val="32"/>
          <w:lang w:val="en-US" w:eastAsia="zh-CN"/>
        </w:rPr>
        <w:t>履行安全生产主体责任，</w:t>
      </w:r>
      <w:r>
        <w:rPr>
          <w:rFonts w:hint="eastAsia" w:ascii="仿宋_GB2312" w:hAnsi="仿宋_GB2312" w:eastAsia="仿宋_GB2312" w:cs="仿宋_GB2312"/>
          <w:sz w:val="32"/>
          <w:szCs w:val="32"/>
          <w:lang w:val="en-US" w:eastAsia="zh-CN"/>
        </w:rPr>
        <w:t>每年开展安全生产演练不少于1次；对初次招用人员，应当组织开展包括事故应急处置演练在内的岗前能力培训；新学员开课的第一节课，应组织学员开展火场逃生演练，熟悉疏散通道路径，掌握逃生方法。</w:t>
      </w:r>
    </w:p>
    <w:p>
      <w:pPr>
        <w:pStyle w:val="4"/>
        <w:adjustRightInd w:val="0"/>
        <w:snapToGrid w:val="0"/>
        <w:spacing w:before="0" w:beforeAutospacing="0" w:after="0" w:afterAutospacing="0" w:line="580" w:lineRule="exact"/>
        <w:ind w:firstLine="612" w:firstLineChars="200"/>
        <w:jc w:val="both"/>
        <w:rPr>
          <w:rFonts w:eastAsia="仿宋_GB2312"/>
          <w:snapToGrid w:val="0"/>
          <w:color w:val="auto"/>
          <w:kern w:val="0"/>
          <w:sz w:val="32"/>
          <w:szCs w:val="32"/>
        </w:rPr>
      </w:pPr>
      <w:r>
        <w:rPr>
          <w:rFonts w:hint="eastAsia" w:ascii="Times New Roman" w:hAnsi="Times New Roman" w:eastAsia="仿宋_GB2312"/>
          <w:snapToGrid w:val="0"/>
          <w:color w:val="auto"/>
          <w:sz w:val="32"/>
          <w:szCs w:val="32"/>
          <w:lang w:eastAsia="zh-CN"/>
        </w:rPr>
        <w:t>第十</w:t>
      </w:r>
      <w:r>
        <w:rPr>
          <w:rFonts w:hint="eastAsia" w:ascii="Times New Roman" w:hAnsi="Times New Roman" w:eastAsia="仿宋_GB2312"/>
          <w:snapToGrid w:val="0"/>
          <w:color w:val="auto"/>
          <w:sz w:val="32"/>
          <w:szCs w:val="32"/>
          <w:lang w:val="en-US" w:eastAsia="zh-CN"/>
        </w:rPr>
        <w:t>二</w:t>
      </w:r>
      <w:r>
        <w:rPr>
          <w:rFonts w:hint="eastAsia" w:ascii="Times New Roman" w:hAnsi="Times New Roman" w:eastAsia="仿宋_GB2312"/>
          <w:snapToGrid w:val="0"/>
          <w:color w:val="auto"/>
          <w:sz w:val="32"/>
          <w:szCs w:val="32"/>
          <w:lang w:eastAsia="zh-CN"/>
        </w:rPr>
        <w:t>条</w:t>
      </w:r>
      <w:r>
        <w:rPr>
          <w:rFonts w:hint="eastAsia" w:ascii="Times New Roman" w:hAnsi="Times New Roman" w:eastAsia="仿宋_GB2312"/>
          <w:snapToGrid w:val="0"/>
          <w:color w:val="auto"/>
          <w:sz w:val="32"/>
          <w:szCs w:val="32"/>
          <w:lang w:val="en-US" w:eastAsia="zh-CN"/>
        </w:rPr>
        <w:t xml:space="preserve"> </w:t>
      </w:r>
      <w:r>
        <w:rPr>
          <w:rFonts w:ascii="Times New Roman" w:hAnsi="Times New Roman" w:eastAsia="仿宋_GB2312"/>
          <w:snapToGrid w:val="0"/>
          <w:color w:val="auto"/>
          <w:sz w:val="32"/>
          <w:szCs w:val="32"/>
        </w:rPr>
        <w:t>培训场</w:t>
      </w:r>
      <w:r>
        <w:rPr>
          <w:rFonts w:hint="eastAsia" w:ascii="Times New Roman" w:hAnsi="Times New Roman" w:eastAsia="仿宋_GB2312"/>
          <w:snapToGrid w:val="0"/>
          <w:color w:val="auto"/>
          <w:sz w:val="32"/>
          <w:szCs w:val="32"/>
          <w:lang w:eastAsia="zh-CN"/>
        </w:rPr>
        <w:t>所</w:t>
      </w:r>
      <w:r>
        <w:rPr>
          <w:rFonts w:ascii="Times New Roman" w:hAnsi="Times New Roman" w:eastAsia="仿宋_GB2312"/>
          <w:snapToGrid w:val="0"/>
          <w:color w:val="auto"/>
          <w:sz w:val="32"/>
          <w:szCs w:val="32"/>
        </w:rPr>
        <w:t>内外应当安装视频监控设施，</w:t>
      </w:r>
      <w:r>
        <w:rPr>
          <w:rFonts w:ascii="Times New Roman" w:hAnsi="Times New Roman" w:eastAsia="仿宋_GB2312"/>
          <w:color w:val="auto"/>
          <w:sz w:val="32"/>
          <w:szCs w:val="32"/>
        </w:rPr>
        <w:t>采集和回放视频图像能清晰辨认人员体貌特征，</w:t>
      </w:r>
      <w:r>
        <w:rPr>
          <w:rFonts w:ascii="Times New Roman" w:hAnsi="Times New Roman" w:eastAsia="仿宋_GB2312"/>
          <w:snapToGrid w:val="0"/>
          <w:color w:val="auto"/>
          <w:sz w:val="32"/>
          <w:szCs w:val="32"/>
        </w:rPr>
        <w:t>视频信息保存不少于</w:t>
      </w:r>
      <w:r>
        <w:rPr>
          <w:rFonts w:hint="eastAsia" w:ascii="Times New Roman" w:hAnsi="Times New Roman" w:eastAsia="仿宋_GB2312"/>
          <w:snapToGrid w:val="0"/>
          <w:color w:val="auto"/>
          <w:sz w:val="32"/>
          <w:szCs w:val="32"/>
          <w:lang w:val="en-US" w:eastAsia="zh-CN"/>
        </w:rPr>
        <w:t>90</w:t>
      </w:r>
      <w:r>
        <w:rPr>
          <w:rFonts w:ascii="Times New Roman" w:hAnsi="Times New Roman" w:eastAsia="仿宋_GB2312"/>
          <w:snapToGrid w:val="0"/>
          <w:color w:val="auto"/>
          <w:sz w:val="32"/>
          <w:szCs w:val="32"/>
        </w:rPr>
        <w:t>天。</w:t>
      </w:r>
    </w:p>
    <w:p>
      <w:pPr>
        <w:adjustRightInd w:val="0"/>
        <w:snapToGrid w:val="0"/>
        <w:spacing w:line="600" w:lineRule="exact"/>
        <w:ind w:firstLine="612" w:firstLineChars="200"/>
        <w:rPr>
          <w:rFonts w:hint="eastAsia" w:ascii="Times New Roman" w:hAnsi="Times New Roman" w:eastAsia="仿宋_GB2312"/>
          <w:snapToGrid w:val="0"/>
          <w:color w:val="auto"/>
          <w:kern w:val="0"/>
          <w:sz w:val="32"/>
          <w:szCs w:val="32"/>
          <w:lang w:val="en-US" w:eastAsia="zh-CN"/>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三</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w:t>
      </w:r>
      <w:r>
        <w:rPr>
          <w:rFonts w:hint="eastAsia" w:ascii="Times New Roman" w:hAnsi="Times New Roman" w:eastAsia="仿宋_GB2312"/>
          <w:snapToGrid w:val="0"/>
          <w:color w:val="auto"/>
          <w:kern w:val="0"/>
          <w:sz w:val="32"/>
          <w:szCs w:val="32"/>
        </w:rPr>
        <w:t>举办者向</w:t>
      </w:r>
      <w:r>
        <w:rPr>
          <w:rFonts w:hint="eastAsia" w:ascii="Times New Roman" w:hAnsi="Times New Roman" w:eastAsia="仿宋_GB2312"/>
          <w:snapToGrid w:val="0"/>
          <w:color w:val="auto"/>
          <w:kern w:val="0"/>
          <w:sz w:val="32"/>
          <w:szCs w:val="32"/>
          <w:lang w:val="en-US" w:eastAsia="zh-CN"/>
        </w:rPr>
        <w:t>蚌山</w:t>
      </w:r>
      <w:r>
        <w:rPr>
          <w:rFonts w:hint="eastAsia" w:ascii="Times New Roman" w:hAnsi="Times New Roman" w:eastAsia="仿宋_GB2312"/>
          <w:snapToGrid w:val="0"/>
          <w:color w:val="auto"/>
          <w:kern w:val="0"/>
          <w:sz w:val="32"/>
          <w:szCs w:val="32"/>
          <w:lang w:eastAsia="zh-CN"/>
        </w:rPr>
        <w:t>区文化和旅游</w:t>
      </w:r>
      <w:r>
        <w:rPr>
          <w:rFonts w:hint="eastAsia" w:ascii="Times New Roman" w:hAnsi="Times New Roman" w:eastAsia="仿宋_GB2312"/>
          <w:snapToGrid w:val="0"/>
          <w:color w:val="auto"/>
          <w:kern w:val="0"/>
          <w:sz w:val="32"/>
          <w:szCs w:val="32"/>
          <w:lang w:val="en-US" w:eastAsia="zh-CN"/>
        </w:rPr>
        <w:t>局</w:t>
      </w:r>
      <w:r>
        <w:rPr>
          <w:rFonts w:hint="eastAsia" w:ascii="Times New Roman" w:hAnsi="Times New Roman" w:eastAsia="仿宋_GB2312"/>
          <w:snapToGrid w:val="0"/>
          <w:color w:val="auto"/>
          <w:kern w:val="0"/>
          <w:sz w:val="32"/>
          <w:szCs w:val="32"/>
        </w:rPr>
        <w:t>提出设立申请，审批部门对材料进行审核，决定是否受理。不属于审批范围、申请材料不全或不符合法定形式的，不予受理并说明理由；材料齐全、符合法定形式的予以受理，并出具《受理通知书》。</w:t>
      </w:r>
    </w:p>
    <w:p>
      <w:pPr>
        <w:adjustRightInd w:val="0"/>
        <w:snapToGrid w:val="0"/>
        <w:spacing w:line="600" w:lineRule="exact"/>
        <w:ind w:firstLine="612" w:firstLineChars="200"/>
        <w:rPr>
          <w:rFonts w:ascii="Times New Roman" w:hAnsi="Times New Roman" w:eastAsia="仿宋_GB2312"/>
          <w:snapToGrid w:val="0"/>
          <w:color w:val="auto"/>
          <w:kern w:val="0"/>
          <w:sz w:val="32"/>
          <w:szCs w:val="32"/>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四</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蚌山区文化和旅游局</w:t>
      </w:r>
      <w:r>
        <w:rPr>
          <w:rFonts w:hint="eastAsia" w:ascii="Times New Roman" w:hAnsi="Times New Roman" w:eastAsia="仿宋_GB2312"/>
          <w:snapToGrid w:val="0"/>
          <w:color w:val="auto"/>
          <w:kern w:val="0"/>
          <w:sz w:val="32"/>
          <w:szCs w:val="32"/>
        </w:rPr>
        <w:t>在出具《受理通知书》后20个工作日内，对材料进行审核，对培训机构场所进行现场勘查。</w:t>
      </w:r>
    </w:p>
    <w:p>
      <w:pPr>
        <w:adjustRightInd w:val="0"/>
        <w:snapToGrid w:val="0"/>
        <w:spacing w:line="600" w:lineRule="exact"/>
        <w:ind w:firstLine="612" w:firstLineChars="200"/>
        <w:rPr>
          <w:rFonts w:ascii="Times New Roman" w:hAnsi="Times New Roman" w:eastAsia="仿宋_GB2312"/>
          <w:snapToGrid w:val="0"/>
          <w:color w:val="auto"/>
          <w:kern w:val="0"/>
          <w:sz w:val="32"/>
          <w:szCs w:val="32"/>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五</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蚌山区文化和旅游局</w:t>
      </w:r>
      <w:r>
        <w:rPr>
          <w:rFonts w:hint="eastAsia" w:ascii="Times New Roman" w:hAnsi="Times New Roman" w:eastAsia="仿宋_GB2312"/>
          <w:snapToGrid w:val="0"/>
          <w:color w:val="auto"/>
          <w:kern w:val="0"/>
          <w:sz w:val="32"/>
          <w:szCs w:val="32"/>
        </w:rPr>
        <w:t>根据审核意见、现场勘查结果进行综合评估，对拟批准设立的培训机构，应在培训场所和审批</w:t>
      </w:r>
      <w:r>
        <w:rPr>
          <w:rFonts w:hint="eastAsia" w:ascii="Times New Roman" w:hAnsi="Times New Roman" w:eastAsia="仿宋_GB2312"/>
          <w:snapToGrid w:val="0"/>
          <w:color w:val="auto"/>
          <w:kern w:val="0"/>
          <w:sz w:val="32"/>
          <w:szCs w:val="32"/>
          <w:lang w:eastAsia="zh-CN"/>
        </w:rPr>
        <w:t>部门</w:t>
      </w:r>
      <w:r>
        <w:rPr>
          <w:rFonts w:hint="eastAsia" w:ascii="Times New Roman" w:hAnsi="Times New Roman" w:eastAsia="仿宋_GB2312"/>
          <w:snapToGrid w:val="0"/>
          <w:color w:val="auto"/>
          <w:kern w:val="0"/>
          <w:sz w:val="32"/>
          <w:szCs w:val="32"/>
        </w:rPr>
        <w:t>网站上进行公示，公示期一般不少于7个工作日。</w:t>
      </w:r>
    </w:p>
    <w:p>
      <w:pPr>
        <w:adjustRightInd w:val="0"/>
        <w:snapToGrid w:val="0"/>
        <w:spacing w:line="600" w:lineRule="exact"/>
        <w:ind w:firstLine="612" w:firstLineChars="200"/>
        <w:rPr>
          <w:rFonts w:ascii="Times New Roman" w:hAnsi="Times New Roman" w:eastAsia="仿宋_GB2312"/>
          <w:bCs/>
          <w:snapToGrid w:val="0"/>
          <w:color w:val="auto"/>
          <w:kern w:val="0"/>
          <w:sz w:val="32"/>
          <w:szCs w:val="32"/>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六</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蚌山区文化和旅游局</w:t>
      </w:r>
      <w:r>
        <w:rPr>
          <w:rFonts w:hint="eastAsia" w:ascii="Times New Roman" w:hAnsi="Times New Roman" w:eastAsia="仿宋_GB2312"/>
          <w:bCs/>
          <w:snapToGrid w:val="0"/>
          <w:color w:val="auto"/>
          <w:kern w:val="0"/>
          <w:sz w:val="32"/>
          <w:szCs w:val="32"/>
        </w:rPr>
        <w:t>根据审核意见和公示情况，作出同意或不同意设立培训机构的行政审批结论。同意设立出具《安徽省文化艺术类校外培训机构设立核准书》，不同意设立出具《不予行政许可决定书》。</w:t>
      </w:r>
    </w:p>
    <w:p>
      <w:pPr>
        <w:adjustRightInd w:val="0"/>
        <w:snapToGrid w:val="0"/>
        <w:spacing w:line="600" w:lineRule="exact"/>
        <w:ind w:firstLine="612" w:firstLineChars="200"/>
        <w:rPr>
          <w:rFonts w:ascii="Times New Roman" w:hAnsi="Times New Roman" w:eastAsia="仿宋_GB2312"/>
          <w:bCs/>
          <w:snapToGrid w:val="0"/>
          <w:color w:val="auto"/>
          <w:kern w:val="0"/>
          <w:sz w:val="32"/>
          <w:szCs w:val="32"/>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七</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蚌山区</w:t>
      </w:r>
      <w:r>
        <w:rPr>
          <w:rFonts w:hint="eastAsia" w:ascii="Times New Roman" w:hAnsi="Times New Roman" w:eastAsia="仿宋_GB2312"/>
          <w:bCs/>
          <w:snapToGrid w:val="0"/>
          <w:color w:val="auto"/>
          <w:kern w:val="0"/>
          <w:sz w:val="32"/>
          <w:szCs w:val="32"/>
        </w:rPr>
        <w:t>文化和旅游</w:t>
      </w:r>
      <w:r>
        <w:rPr>
          <w:rFonts w:hint="eastAsia" w:ascii="Times New Roman" w:hAnsi="Times New Roman" w:eastAsia="仿宋_GB2312"/>
          <w:bCs/>
          <w:snapToGrid w:val="0"/>
          <w:color w:val="auto"/>
          <w:kern w:val="0"/>
          <w:sz w:val="32"/>
          <w:szCs w:val="32"/>
          <w:lang w:val="en-US" w:eastAsia="zh-CN"/>
        </w:rPr>
        <w:t>局</w:t>
      </w:r>
      <w:r>
        <w:rPr>
          <w:rFonts w:hint="eastAsia" w:ascii="Times New Roman" w:hAnsi="Times New Roman" w:eastAsia="仿宋_GB2312"/>
          <w:bCs/>
          <w:snapToGrid w:val="0"/>
          <w:color w:val="auto"/>
          <w:kern w:val="0"/>
          <w:sz w:val="32"/>
          <w:szCs w:val="32"/>
        </w:rPr>
        <w:t>应当于出具《行政许可申请受理通知书》之日起30个工作日内向举办者反馈审批结论。</w:t>
      </w:r>
    </w:p>
    <w:p>
      <w:pPr>
        <w:adjustRightInd w:val="0"/>
        <w:snapToGrid w:val="0"/>
        <w:spacing w:line="600" w:lineRule="exact"/>
        <w:ind w:firstLine="612" w:firstLineChars="200"/>
        <w:rPr>
          <w:rFonts w:ascii="Times New Roman" w:hAnsi="Times New Roman" w:eastAsia="仿宋_GB2312"/>
          <w:bCs/>
          <w:snapToGrid w:val="0"/>
          <w:color w:val="auto"/>
          <w:kern w:val="0"/>
          <w:sz w:val="32"/>
          <w:szCs w:val="32"/>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八</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w:t>
      </w:r>
      <w:r>
        <w:rPr>
          <w:rFonts w:hint="eastAsia" w:ascii="Times New Roman" w:hAnsi="Times New Roman" w:eastAsia="仿宋_GB2312"/>
          <w:bCs/>
          <w:snapToGrid w:val="0"/>
          <w:color w:val="auto"/>
          <w:kern w:val="0"/>
          <w:sz w:val="32"/>
          <w:szCs w:val="32"/>
        </w:rPr>
        <w:t>办学审批通过后20日内，举办者持</w:t>
      </w:r>
      <w:r>
        <w:rPr>
          <w:rFonts w:hint="eastAsia" w:ascii="Times New Roman" w:hAnsi="Times New Roman" w:eastAsia="仿宋_GB2312"/>
          <w:bCs/>
          <w:snapToGrid w:val="0"/>
          <w:color w:val="auto"/>
          <w:kern w:val="0"/>
          <w:sz w:val="32"/>
          <w:szCs w:val="32"/>
          <w:lang w:val="en-US" w:eastAsia="zh-CN"/>
        </w:rPr>
        <w:t>蚌山区</w:t>
      </w:r>
      <w:r>
        <w:rPr>
          <w:rFonts w:hint="eastAsia" w:ascii="Times New Roman" w:hAnsi="Times New Roman" w:eastAsia="仿宋_GB2312"/>
          <w:bCs/>
          <w:snapToGrid w:val="0"/>
          <w:color w:val="auto"/>
          <w:kern w:val="0"/>
          <w:sz w:val="32"/>
          <w:szCs w:val="32"/>
        </w:rPr>
        <w:t>文化和旅游</w:t>
      </w:r>
      <w:r>
        <w:rPr>
          <w:rFonts w:hint="eastAsia" w:ascii="Times New Roman" w:hAnsi="Times New Roman" w:eastAsia="仿宋_GB2312"/>
          <w:bCs/>
          <w:snapToGrid w:val="0"/>
          <w:color w:val="auto"/>
          <w:kern w:val="0"/>
          <w:sz w:val="32"/>
          <w:szCs w:val="32"/>
          <w:lang w:val="en-US" w:eastAsia="zh-CN"/>
        </w:rPr>
        <w:t>局</w:t>
      </w:r>
      <w:r>
        <w:rPr>
          <w:rFonts w:hint="eastAsia" w:ascii="Times New Roman" w:hAnsi="Times New Roman" w:eastAsia="仿宋_GB2312"/>
          <w:bCs/>
          <w:snapToGrid w:val="0"/>
          <w:color w:val="auto"/>
          <w:kern w:val="0"/>
          <w:sz w:val="32"/>
          <w:szCs w:val="32"/>
        </w:rPr>
        <w:t>审批同意的《安徽省文化艺术类校外培训机构设立核准书》及其他法定登记材料，至相关登记管理部门办理法人登记手续。营利性培训机构至</w:t>
      </w:r>
      <w:r>
        <w:rPr>
          <w:rFonts w:hint="eastAsia" w:ascii="Times New Roman" w:hAnsi="Times New Roman" w:eastAsia="仿宋_GB2312"/>
          <w:bCs/>
          <w:snapToGrid w:val="0"/>
          <w:color w:val="auto"/>
          <w:kern w:val="0"/>
          <w:sz w:val="32"/>
          <w:szCs w:val="32"/>
          <w:lang w:val="en-US" w:eastAsia="zh-CN"/>
        </w:rPr>
        <w:t>市</w:t>
      </w:r>
      <w:r>
        <w:rPr>
          <w:rFonts w:hint="eastAsia" w:ascii="Times New Roman" w:hAnsi="Times New Roman" w:eastAsia="仿宋_GB2312"/>
          <w:bCs/>
          <w:snapToGrid w:val="0"/>
          <w:color w:val="auto"/>
          <w:kern w:val="0"/>
          <w:sz w:val="32"/>
          <w:szCs w:val="32"/>
        </w:rPr>
        <w:t>场监管部门依法依规办理营业执照，至税务部门办理税务登记手续；非营利性培训机构至民政部门依法依规办理民办非企业法人登记证。</w:t>
      </w:r>
    </w:p>
    <w:p>
      <w:pPr>
        <w:adjustRightInd w:val="0"/>
        <w:snapToGrid w:val="0"/>
        <w:spacing w:line="600" w:lineRule="exact"/>
        <w:ind w:firstLine="612" w:firstLineChars="200"/>
        <w:rPr>
          <w:rFonts w:ascii="Times New Roman" w:hAnsi="Times New Roman" w:eastAsia="仿宋_GB2312"/>
          <w:snapToGrid w:val="0"/>
          <w:color w:val="auto"/>
          <w:kern w:val="0"/>
          <w:sz w:val="32"/>
          <w:szCs w:val="32"/>
        </w:rPr>
      </w:pPr>
      <w:r>
        <w:rPr>
          <w:rFonts w:hint="eastAsia" w:ascii="Times New Roman" w:hAnsi="Times New Roman" w:eastAsia="仿宋_GB2312"/>
          <w:snapToGrid w:val="0"/>
          <w:color w:val="auto"/>
          <w:kern w:val="0"/>
          <w:sz w:val="32"/>
          <w:szCs w:val="32"/>
          <w:lang w:eastAsia="zh-CN"/>
        </w:rPr>
        <w:t>第十</w:t>
      </w:r>
      <w:r>
        <w:rPr>
          <w:rFonts w:hint="eastAsia" w:ascii="Times New Roman" w:hAnsi="Times New Roman" w:eastAsia="仿宋_GB2312"/>
          <w:snapToGrid w:val="0"/>
          <w:color w:val="auto"/>
          <w:kern w:val="0"/>
          <w:sz w:val="32"/>
          <w:szCs w:val="32"/>
          <w:lang w:val="en-US" w:eastAsia="zh-CN"/>
        </w:rPr>
        <w:t>九</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蚌山</w:t>
      </w:r>
      <w:r>
        <w:rPr>
          <w:rFonts w:hint="eastAsia" w:ascii="Times New Roman" w:hAnsi="Times New Roman" w:eastAsia="仿宋_GB2312"/>
          <w:snapToGrid w:val="0"/>
          <w:color w:val="auto"/>
          <w:kern w:val="0"/>
          <w:sz w:val="32"/>
          <w:szCs w:val="32"/>
          <w:lang w:eastAsia="zh-CN"/>
        </w:rPr>
        <w:t>区</w:t>
      </w:r>
      <w:r>
        <w:rPr>
          <w:rFonts w:hint="eastAsia" w:ascii="Times New Roman" w:hAnsi="Times New Roman" w:eastAsia="仿宋_GB2312"/>
          <w:snapToGrid w:val="0"/>
          <w:color w:val="auto"/>
          <w:kern w:val="0"/>
          <w:sz w:val="32"/>
          <w:szCs w:val="32"/>
        </w:rPr>
        <w:t>文化</w:t>
      </w:r>
      <w:r>
        <w:rPr>
          <w:rFonts w:hint="eastAsia" w:ascii="Times New Roman" w:hAnsi="Times New Roman" w:eastAsia="仿宋_GB2312"/>
          <w:snapToGrid w:val="0"/>
          <w:color w:val="auto"/>
          <w:kern w:val="0"/>
          <w:sz w:val="32"/>
          <w:szCs w:val="32"/>
          <w:lang w:eastAsia="zh-CN"/>
        </w:rPr>
        <w:t>和</w:t>
      </w:r>
      <w:r>
        <w:rPr>
          <w:rFonts w:hint="eastAsia" w:ascii="Times New Roman" w:hAnsi="Times New Roman" w:eastAsia="仿宋_GB2312"/>
          <w:snapToGrid w:val="0"/>
          <w:color w:val="auto"/>
          <w:kern w:val="0"/>
          <w:sz w:val="32"/>
          <w:szCs w:val="32"/>
        </w:rPr>
        <w:t>旅游</w:t>
      </w:r>
      <w:r>
        <w:rPr>
          <w:rFonts w:hint="eastAsia" w:ascii="Times New Roman" w:hAnsi="Times New Roman" w:eastAsia="仿宋_GB2312"/>
          <w:snapToGrid w:val="0"/>
          <w:color w:val="auto"/>
          <w:kern w:val="0"/>
          <w:sz w:val="32"/>
          <w:szCs w:val="32"/>
          <w:lang w:val="en-US" w:eastAsia="zh-CN"/>
        </w:rPr>
        <w:t>局</w:t>
      </w:r>
      <w:r>
        <w:rPr>
          <w:rFonts w:hint="eastAsia" w:ascii="Times New Roman" w:hAnsi="Times New Roman" w:eastAsia="仿宋_GB2312"/>
          <w:snapToGrid w:val="0"/>
          <w:color w:val="auto"/>
          <w:kern w:val="0"/>
          <w:sz w:val="32"/>
          <w:szCs w:val="32"/>
        </w:rPr>
        <w:t>要对培训机构开展日常检查、随机抽查、专项检查和年度检查</w:t>
      </w:r>
      <w:r>
        <w:rPr>
          <w:rFonts w:hint="eastAsia" w:ascii="Times New Roman" w:hAnsi="Times New Roman" w:eastAsia="仿宋_GB2312"/>
          <w:snapToGrid w:val="0"/>
          <w:color w:val="auto"/>
          <w:kern w:val="0"/>
          <w:sz w:val="32"/>
          <w:szCs w:val="32"/>
          <w:lang w:eastAsia="zh-CN"/>
        </w:rPr>
        <w:t>，</w:t>
      </w:r>
      <w:r>
        <w:rPr>
          <w:rFonts w:hint="eastAsia" w:ascii="Times New Roman" w:hAnsi="Times New Roman" w:eastAsia="仿宋_GB2312"/>
          <w:snapToGrid w:val="0"/>
          <w:color w:val="auto"/>
          <w:kern w:val="0"/>
          <w:sz w:val="32"/>
          <w:szCs w:val="32"/>
        </w:rPr>
        <w:t>对可能存在的安全隐患、违规收费、虚假宣传等问题</w:t>
      </w:r>
      <w:r>
        <w:rPr>
          <w:rFonts w:hint="eastAsia" w:ascii="Times New Roman" w:hAnsi="Times New Roman" w:eastAsia="仿宋_GB2312"/>
          <w:snapToGrid w:val="0"/>
          <w:color w:val="auto"/>
          <w:kern w:val="0"/>
          <w:sz w:val="32"/>
          <w:szCs w:val="32"/>
          <w:lang w:val="en-US" w:eastAsia="zh-CN"/>
        </w:rPr>
        <w:t>做到</w:t>
      </w:r>
      <w:r>
        <w:rPr>
          <w:rFonts w:hint="eastAsia" w:ascii="Times New Roman" w:hAnsi="Times New Roman" w:eastAsia="仿宋_GB2312"/>
          <w:snapToGrid w:val="0"/>
          <w:color w:val="auto"/>
          <w:kern w:val="0"/>
          <w:sz w:val="32"/>
          <w:szCs w:val="32"/>
        </w:rPr>
        <w:t>早发现、早预警、早处置。</w:t>
      </w:r>
    </w:p>
    <w:p>
      <w:pPr>
        <w:adjustRightInd w:val="0"/>
        <w:snapToGrid w:val="0"/>
        <w:spacing w:line="600" w:lineRule="exact"/>
        <w:ind w:firstLine="612" w:firstLineChars="200"/>
        <w:rPr>
          <w:rFonts w:hint="eastAsia" w:ascii="Times New Roman" w:hAnsi="Times New Roman" w:eastAsia="仿宋_GB2312"/>
          <w:snapToGrid w:val="0"/>
          <w:color w:val="auto"/>
          <w:kern w:val="0"/>
          <w:sz w:val="32"/>
          <w:szCs w:val="32"/>
        </w:rPr>
      </w:pPr>
      <w:r>
        <w:rPr>
          <w:rFonts w:hint="eastAsia" w:ascii="Times New Roman" w:hAnsi="Times New Roman" w:eastAsia="仿宋_GB2312"/>
          <w:snapToGrid w:val="0"/>
          <w:color w:val="auto"/>
          <w:kern w:val="0"/>
          <w:sz w:val="32"/>
          <w:szCs w:val="32"/>
          <w:lang w:eastAsia="zh-CN"/>
        </w:rPr>
        <w:t>第</w:t>
      </w:r>
      <w:r>
        <w:rPr>
          <w:rFonts w:hint="eastAsia" w:ascii="Times New Roman" w:hAnsi="Times New Roman" w:eastAsia="仿宋_GB2312"/>
          <w:snapToGrid w:val="0"/>
          <w:color w:val="auto"/>
          <w:kern w:val="0"/>
          <w:sz w:val="32"/>
          <w:szCs w:val="32"/>
          <w:lang w:val="en-US" w:eastAsia="zh-CN"/>
        </w:rPr>
        <w:t>二十</w:t>
      </w:r>
      <w:r>
        <w:rPr>
          <w:rFonts w:hint="eastAsia" w:ascii="Times New Roman" w:hAnsi="Times New Roman" w:eastAsia="仿宋_GB2312"/>
          <w:snapToGrid w:val="0"/>
          <w:color w:val="auto"/>
          <w:kern w:val="0"/>
          <w:sz w:val="32"/>
          <w:szCs w:val="32"/>
          <w:lang w:eastAsia="zh-CN"/>
        </w:rPr>
        <w:t>条</w:t>
      </w:r>
      <w:r>
        <w:rPr>
          <w:rFonts w:hint="eastAsia" w:ascii="Times New Roman" w:hAnsi="Times New Roman" w:eastAsia="仿宋_GB2312"/>
          <w:snapToGrid w:val="0"/>
          <w:color w:val="auto"/>
          <w:kern w:val="0"/>
          <w:sz w:val="32"/>
          <w:szCs w:val="32"/>
          <w:lang w:val="en-US" w:eastAsia="zh-CN"/>
        </w:rPr>
        <w:t xml:space="preserve"> 蚌山区</w:t>
      </w:r>
      <w:r>
        <w:rPr>
          <w:rFonts w:hint="eastAsia" w:ascii="Times New Roman" w:hAnsi="Times New Roman" w:eastAsia="仿宋_GB2312"/>
          <w:snapToGrid w:val="0"/>
          <w:color w:val="auto"/>
          <w:kern w:val="0"/>
          <w:sz w:val="32"/>
          <w:szCs w:val="32"/>
        </w:rPr>
        <w:t>文化</w:t>
      </w:r>
      <w:r>
        <w:rPr>
          <w:rFonts w:hint="eastAsia" w:ascii="Times New Roman" w:hAnsi="Times New Roman" w:eastAsia="仿宋_GB2312"/>
          <w:snapToGrid w:val="0"/>
          <w:color w:val="auto"/>
          <w:kern w:val="0"/>
          <w:sz w:val="32"/>
          <w:szCs w:val="32"/>
          <w:lang w:eastAsia="zh-CN"/>
        </w:rPr>
        <w:t>和</w:t>
      </w:r>
      <w:r>
        <w:rPr>
          <w:rFonts w:hint="eastAsia" w:ascii="Times New Roman" w:hAnsi="Times New Roman" w:eastAsia="仿宋_GB2312"/>
          <w:snapToGrid w:val="0"/>
          <w:color w:val="auto"/>
          <w:kern w:val="0"/>
          <w:sz w:val="32"/>
          <w:szCs w:val="32"/>
        </w:rPr>
        <w:t>旅游</w:t>
      </w:r>
      <w:r>
        <w:rPr>
          <w:rFonts w:hint="eastAsia" w:ascii="Times New Roman" w:hAnsi="Times New Roman" w:eastAsia="仿宋_GB2312"/>
          <w:snapToGrid w:val="0"/>
          <w:color w:val="auto"/>
          <w:kern w:val="0"/>
          <w:sz w:val="32"/>
          <w:szCs w:val="32"/>
          <w:lang w:val="en-US" w:eastAsia="zh-CN"/>
        </w:rPr>
        <w:t>局</w:t>
      </w:r>
      <w:r>
        <w:rPr>
          <w:rFonts w:hint="eastAsia" w:ascii="Times New Roman" w:hAnsi="Times New Roman" w:eastAsia="仿宋_GB2312"/>
          <w:snapToGrid w:val="0"/>
          <w:color w:val="auto"/>
          <w:kern w:val="0"/>
          <w:sz w:val="32"/>
          <w:szCs w:val="32"/>
        </w:rPr>
        <w:t>每年开展一次“核准书”年检工作，对隐瞒实情、弄虚作假、违法违规办学、不接受年检的，配合相关部门对培训机构</w:t>
      </w:r>
      <w:r>
        <w:rPr>
          <w:rFonts w:hint="eastAsia" w:ascii="Times New Roman" w:hAnsi="Times New Roman" w:eastAsia="仿宋_GB2312"/>
          <w:snapToGrid w:val="0"/>
          <w:color w:val="auto"/>
          <w:kern w:val="0"/>
          <w:sz w:val="32"/>
          <w:szCs w:val="32"/>
          <w:lang w:val="en-US" w:eastAsia="zh-CN"/>
        </w:rPr>
        <w:t>开展</w:t>
      </w:r>
      <w:r>
        <w:rPr>
          <w:rFonts w:hint="eastAsia" w:ascii="Times New Roman" w:hAnsi="Times New Roman" w:eastAsia="仿宋_GB2312"/>
          <w:snapToGrid w:val="0"/>
          <w:color w:val="auto"/>
          <w:kern w:val="0"/>
          <w:sz w:val="32"/>
          <w:szCs w:val="32"/>
        </w:rPr>
        <w:t>综合执法，依法责令停止招生、吊销核准书，依法追究相应法律责任。</w:t>
      </w:r>
    </w:p>
    <w:p>
      <w:pPr>
        <w:adjustRightInd w:val="0"/>
        <w:snapToGrid w:val="0"/>
        <w:spacing w:line="600" w:lineRule="exact"/>
        <w:ind w:firstLine="612" w:firstLineChars="200"/>
        <w:rPr>
          <w:rFonts w:ascii="Times New Roman" w:hAnsi="Times New Roman" w:eastAsia="仿宋_GB2312" w:cs="Times New Roman"/>
          <w:snapToGrid w:val="0"/>
          <w:color w:val="auto"/>
          <w:kern w:val="0"/>
          <w:sz w:val="32"/>
          <w:szCs w:val="32"/>
        </w:rPr>
      </w:pPr>
      <w:r>
        <w:rPr>
          <w:rFonts w:hint="eastAsia" w:ascii="Times New Roman" w:hAnsi="Times New Roman" w:eastAsia="仿宋_GB2312" w:cs="Times New Roman"/>
          <w:snapToGrid w:val="0"/>
          <w:color w:val="auto"/>
          <w:kern w:val="0"/>
          <w:sz w:val="32"/>
          <w:szCs w:val="32"/>
          <w:lang w:eastAsia="zh-CN"/>
        </w:rPr>
        <w:t>第</w:t>
      </w:r>
      <w:r>
        <w:rPr>
          <w:rFonts w:hint="eastAsia" w:ascii="Times New Roman" w:hAnsi="Times New Roman" w:eastAsia="仿宋_GB2312" w:cs="Times New Roman"/>
          <w:snapToGrid w:val="0"/>
          <w:color w:val="auto"/>
          <w:kern w:val="0"/>
          <w:sz w:val="32"/>
          <w:szCs w:val="32"/>
          <w:lang w:val="en-US" w:eastAsia="zh-CN"/>
        </w:rPr>
        <w:t>二</w:t>
      </w:r>
      <w:r>
        <w:rPr>
          <w:rFonts w:hint="eastAsia" w:ascii="Times New Roman" w:hAnsi="Times New Roman" w:eastAsia="仿宋_GB2312" w:cs="Times New Roman"/>
          <w:snapToGrid w:val="0"/>
          <w:color w:val="auto"/>
          <w:kern w:val="0"/>
          <w:sz w:val="32"/>
          <w:szCs w:val="32"/>
          <w:lang w:eastAsia="zh-CN"/>
        </w:rPr>
        <w:t>十</w:t>
      </w:r>
      <w:r>
        <w:rPr>
          <w:rFonts w:hint="eastAsia" w:ascii="Times New Roman" w:hAnsi="Times New Roman" w:eastAsia="仿宋_GB2312" w:cs="Times New Roman"/>
          <w:snapToGrid w:val="0"/>
          <w:color w:val="auto"/>
          <w:kern w:val="0"/>
          <w:sz w:val="32"/>
          <w:szCs w:val="32"/>
          <w:lang w:val="en-US" w:eastAsia="zh-CN"/>
        </w:rPr>
        <w:t>一</w:t>
      </w:r>
      <w:r>
        <w:rPr>
          <w:rFonts w:hint="eastAsia" w:ascii="Times New Roman" w:hAnsi="Times New Roman" w:eastAsia="仿宋_GB2312" w:cs="Times New Roman"/>
          <w:snapToGrid w:val="0"/>
          <w:color w:val="auto"/>
          <w:kern w:val="0"/>
          <w:sz w:val="32"/>
          <w:szCs w:val="32"/>
          <w:lang w:eastAsia="zh-CN"/>
        </w:rPr>
        <w:t>条</w:t>
      </w:r>
      <w:r>
        <w:rPr>
          <w:rFonts w:hint="eastAsia" w:ascii="Times New Roman" w:hAnsi="Times New Roman" w:eastAsia="仿宋_GB2312" w:cs="Times New Roman"/>
          <w:snapToGrid w:val="0"/>
          <w:color w:val="auto"/>
          <w:kern w:val="0"/>
          <w:sz w:val="32"/>
          <w:szCs w:val="32"/>
          <w:lang w:val="en-US" w:eastAsia="zh-CN"/>
        </w:rPr>
        <w:t xml:space="preserve"> 本</w:t>
      </w:r>
      <w:r>
        <w:rPr>
          <w:rFonts w:hint="eastAsia" w:ascii="Times New Roman" w:hAnsi="Times New Roman" w:eastAsia="仿宋_GB2312" w:cs="Times New Roman"/>
          <w:snapToGrid w:val="0"/>
          <w:color w:val="auto"/>
          <w:kern w:val="0"/>
          <w:sz w:val="32"/>
          <w:szCs w:val="32"/>
          <w:u w:val="none"/>
          <w:lang w:val="en-US" w:eastAsia="zh-CN"/>
        </w:rPr>
        <w:t>暂行补充规定</w:t>
      </w:r>
      <w:r>
        <w:rPr>
          <w:rFonts w:ascii="Times New Roman" w:hAnsi="Times New Roman" w:eastAsia="仿宋_GB2312" w:cs="Times New Roman"/>
          <w:snapToGrid w:val="0"/>
          <w:color w:val="auto"/>
          <w:kern w:val="0"/>
          <w:sz w:val="32"/>
          <w:szCs w:val="32"/>
        </w:rPr>
        <w:t>由</w:t>
      </w:r>
      <w:r>
        <w:rPr>
          <w:rFonts w:hint="eastAsia" w:ascii="Times New Roman" w:hAnsi="Times New Roman" w:eastAsia="仿宋_GB2312" w:cs="Times New Roman"/>
          <w:snapToGrid w:val="0"/>
          <w:color w:val="auto"/>
          <w:kern w:val="0"/>
          <w:sz w:val="32"/>
          <w:szCs w:val="32"/>
          <w:lang w:val="en-US" w:eastAsia="zh-CN"/>
        </w:rPr>
        <w:t>蚌山区</w:t>
      </w:r>
      <w:r>
        <w:rPr>
          <w:rFonts w:hint="eastAsia" w:ascii="Times New Roman" w:hAnsi="Times New Roman" w:eastAsia="仿宋_GB2312" w:cs="Times New Roman"/>
          <w:snapToGrid w:val="0"/>
          <w:color w:val="auto"/>
          <w:kern w:val="0"/>
          <w:sz w:val="32"/>
          <w:szCs w:val="32"/>
        </w:rPr>
        <w:t>文化和旅游局</w:t>
      </w:r>
      <w:r>
        <w:rPr>
          <w:rFonts w:ascii="Times New Roman" w:hAnsi="Times New Roman" w:eastAsia="仿宋_GB2312" w:cs="Times New Roman"/>
          <w:snapToGrid w:val="0"/>
          <w:color w:val="auto"/>
          <w:kern w:val="0"/>
          <w:sz w:val="32"/>
          <w:szCs w:val="32"/>
        </w:rPr>
        <w:t>解释。</w:t>
      </w:r>
    </w:p>
    <w:p>
      <w:pPr>
        <w:pStyle w:val="8"/>
        <w:shd w:val="clear" w:color="auto" w:fill="auto"/>
        <w:adjustRightInd w:val="0"/>
        <w:snapToGrid w:val="0"/>
        <w:spacing w:line="600" w:lineRule="exact"/>
        <w:ind w:firstLine="658"/>
        <w:rPr>
          <w:rFonts w:hint="default" w:ascii="Times New Roman" w:hAnsi="Times New Roman" w:eastAsia="仿宋_GB2312" w:cs="Times New Roman"/>
          <w:snapToGrid w:val="0"/>
          <w:color w:val="auto"/>
          <w:kern w:val="0"/>
          <w:sz w:val="32"/>
          <w:szCs w:val="32"/>
          <w:u w:val="none"/>
          <w:lang w:val="en-US" w:eastAsia="zh-CN"/>
        </w:rPr>
      </w:pPr>
      <w:r>
        <w:rPr>
          <w:rFonts w:hint="eastAsia" w:ascii="Times New Roman" w:hAnsi="Times New Roman" w:eastAsia="仿宋_GB2312" w:cs="Times New Roman"/>
          <w:snapToGrid w:val="0"/>
          <w:color w:val="auto"/>
          <w:kern w:val="0"/>
          <w:sz w:val="32"/>
          <w:szCs w:val="32"/>
          <w:u w:val="none"/>
          <w:lang w:eastAsia="zh-CN"/>
        </w:rPr>
        <w:t>第二</w:t>
      </w:r>
      <w:r>
        <w:rPr>
          <w:rFonts w:hint="eastAsia" w:ascii="Times New Roman" w:hAnsi="Times New Roman" w:eastAsia="仿宋_GB2312" w:cs="Times New Roman"/>
          <w:snapToGrid w:val="0"/>
          <w:color w:val="auto"/>
          <w:kern w:val="0"/>
          <w:sz w:val="32"/>
          <w:szCs w:val="32"/>
          <w:u w:val="none"/>
          <w:lang w:val="en-US" w:eastAsia="zh-CN"/>
        </w:rPr>
        <w:t>十二</w:t>
      </w:r>
      <w:r>
        <w:rPr>
          <w:rFonts w:hint="eastAsia" w:ascii="Times New Roman" w:hAnsi="Times New Roman" w:eastAsia="仿宋_GB2312" w:cs="Times New Roman"/>
          <w:snapToGrid w:val="0"/>
          <w:color w:val="auto"/>
          <w:kern w:val="0"/>
          <w:sz w:val="32"/>
          <w:szCs w:val="32"/>
          <w:u w:val="none"/>
          <w:lang w:eastAsia="zh-CN"/>
        </w:rPr>
        <w:t>条</w:t>
      </w:r>
      <w:r>
        <w:rPr>
          <w:rFonts w:hint="eastAsia" w:ascii="Times New Roman" w:hAnsi="Times New Roman" w:eastAsia="仿宋_GB2312" w:cs="Times New Roman"/>
          <w:snapToGrid w:val="0"/>
          <w:color w:val="auto"/>
          <w:kern w:val="0"/>
          <w:sz w:val="32"/>
          <w:szCs w:val="32"/>
          <w:u w:val="none"/>
          <w:lang w:val="en-US" w:eastAsia="zh-CN"/>
        </w:rPr>
        <w:t xml:space="preserve"> 本暂行补充规定未明确的事项按《安徽省文化艺术类校外培训机构设置标准（试行）》《安徽省文化艺术类校外培训机构审批流程（试行）》</w:t>
      </w:r>
      <w:r>
        <w:rPr>
          <w:rFonts w:hint="eastAsia" w:ascii="Times New Roman" w:hAnsi="Times New Roman" w:eastAsia="仿宋_GB2312" w:cs="Times New Roman"/>
          <w:snapToGrid w:val="0"/>
          <w:color w:val="auto"/>
          <w:kern w:val="0"/>
          <w:sz w:val="32"/>
          <w:szCs w:val="32"/>
          <w:lang w:eastAsia="zh-CN"/>
        </w:rPr>
        <w:t>《</w:t>
      </w:r>
      <w:r>
        <w:rPr>
          <w:rFonts w:hint="eastAsia" w:ascii="Times New Roman" w:hAnsi="Times New Roman" w:eastAsia="仿宋_GB2312" w:cs="Times New Roman"/>
          <w:snapToGrid w:val="0"/>
          <w:color w:val="auto"/>
          <w:kern w:val="0"/>
          <w:sz w:val="32"/>
          <w:szCs w:val="32"/>
          <w:lang w:val="en-US" w:eastAsia="zh-CN"/>
        </w:rPr>
        <w:t>蚌埠市贯彻执行</w:t>
      </w:r>
      <w:r>
        <w:rPr>
          <w:rFonts w:hint="eastAsia" w:ascii="仿宋" w:hAnsi="仿宋" w:eastAsia="仿宋" w:cs="仿宋"/>
          <w:snapToGrid w:val="0"/>
          <w:color w:val="auto"/>
          <w:kern w:val="0"/>
          <w:sz w:val="32"/>
          <w:szCs w:val="32"/>
          <w:lang w:val="en-US" w:eastAsia="zh-CN"/>
        </w:rPr>
        <w:t>&lt;</w:t>
      </w:r>
      <w:r>
        <w:rPr>
          <w:rFonts w:hint="eastAsia" w:ascii="Times New Roman" w:hAnsi="Times New Roman" w:eastAsia="仿宋_GB2312" w:cs="Times New Roman"/>
          <w:snapToGrid w:val="0"/>
          <w:color w:val="auto"/>
          <w:kern w:val="0"/>
          <w:sz w:val="32"/>
          <w:szCs w:val="32"/>
          <w:lang w:eastAsia="zh-CN"/>
        </w:rPr>
        <w:t>安徽省文化艺术类校外培训机构设置标准（试行）</w:t>
      </w:r>
      <w:r>
        <w:rPr>
          <w:rFonts w:hint="eastAsia" w:ascii="仿宋" w:hAnsi="仿宋" w:eastAsia="仿宋" w:cs="仿宋"/>
          <w:snapToGrid w:val="0"/>
          <w:color w:val="auto"/>
          <w:kern w:val="0"/>
          <w:sz w:val="32"/>
          <w:szCs w:val="32"/>
          <w:lang w:val="en-US" w:eastAsia="zh-CN"/>
        </w:rPr>
        <w:t>&gt;实施细则</w:t>
      </w:r>
      <w:r>
        <w:rPr>
          <w:rFonts w:hint="eastAsia" w:ascii="Times New Roman" w:hAnsi="Times New Roman" w:eastAsia="仿宋_GB2312" w:cs="Times New Roman"/>
          <w:snapToGrid w:val="0"/>
          <w:color w:val="auto"/>
          <w:kern w:val="0"/>
          <w:sz w:val="32"/>
          <w:szCs w:val="32"/>
          <w:lang w:eastAsia="zh-CN"/>
        </w:rPr>
        <w:t>》</w:t>
      </w:r>
      <w:r>
        <w:rPr>
          <w:rFonts w:hint="eastAsia" w:ascii="Times New Roman" w:hAnsi="Times New Roman" w:eastAsia="仿宋_GB2312" w:cs="Times New Roman"/>
          <w:snapToGrid w:val="0"/>
          <w:color w:val="auto"/>
          <w:kern w:val="0"/>
          <w:sz w:val="32"/>
          <w:szCs w:val="32"/>
          <w:u w:val="none"/>
          <w:lang w:val="en-US" w:eastAsia="zh-CN"/>
        </w:rPr>
        <w:t>执行。</w:t>
      </w:r>
    </w:p>
    <w:p>
      <w:pPr>
        <w:pStyle w:val="8"/>
        <w:shd w:val="clear" w:color="auto" w:fill="auto"/>
        <w:adjustRightInd w:val="0"/>
        <w:snapToGrid w:val="0"/>
        <w:spacing w:line="600" w:lineRule="exact"/>
        <w:ind w:left="297" w:leftChars="152" w:firstLine="306" w:firstLineChars="100"/>
        <w:rPr>
          <w:rFonts w:ascii="仿宋_GB2312" w:eastAsia="仿宋_GB2312"/>
          <w:color w:val="auto"/>
          <w:sz w:val="32"/>
          <w:szCs w:val="32"/>
          <w:lang w:val="en-US"/>
        </w:rPr>
      </w:pPr>
      <w:r>
        <w:rPr>
          <w:rFonts w:hint="eastAsia" w:ascii="Times New Roman" w:hAnsi="Times New Roman" w:eastAsia="仿宋_GB2312" w:cs="Times New Roman"/>
          <w:snapToGrid w:val="0"/>
          <w:color w:val="auto"/>
          <w:kern w:val="0"/>
          <w:sz w:val="32"/>
          <w:szCs w:val="32"/>
          <w:lang w:eastAsia="zh-CN"/>
        </w:rPr>
        <w:t>第</w:t>
      </w:r>
      <w:r>
        <w:rPr>
          <w:rFonts w:hint="eastAsia" w:ascii="Times New Roman" w:hAnsi="Times New Roman" w:eastAsia="仿宋_GB2312" w:cs="Times New Roman"/>
          <w:snapToGrid w:val="0"/>
          <w:color w:val="auto"/>
          <w:kern w:val="0"/>
          <w:sz w:val="32"/>
          <w:szCs w:val="32"/>
          <w:lang w:val="en-US" w:eastAsia="zh-CN"/>
        </w:rPr>
        <w:t>二</w:t>
      </w:r>
      <w:r>
        <w:rPr>
          <w:rFonts w:hint="eastAsia" w:ascii="Times New Roman" w:hAnsi="Times New Roman" w:eastAsia="仿宋_GB2312" w:cs="Times New Roman"/>
          <w:snapToGrid w:val="0"/>
          <w:color w:val="auto"/>
          <w:kern w:val="0"/>
          <w:sz w:val="32"/>
          <w:szCs w:val="32"/>
          <w:lang w:eastAsia="zh-CN"/>
        </w:rPr>
        <w:t>十</w:t>
      </w:r>
      <w:r>
        <w:rPr>
          <w:rFonts w:hint="eastAsia" w:ascii="Times New Roman" w:hAnsi="Times New Roman" w:eastAsia="仿宋_GB2312" w:cs="Times New Roman"/>
          <w:snapToGrid w:val="0"/>
          <w:color w:val="auto"/>
          <w:kern w:val="0"/>
          <w:sz w:val="32"/>
          <w:szCs w:val="32"/>
          <w:lang w:val="en-US" w:eastAsia="zh-CN"/>
        </w:rPr>
        <w:t>三</w:t>
      </w:r>
      <w:r>
        <w:rPr>
          <w:rFonts w:hint="eastAsia" w:ascii="Times New Roman" w:hAnsi="Times New Roman" w:eastAsia="仿宋_GB2312" w:cs="Times New Roman"/>
          <w:snapToGrid w:val="0"/>
          <w:color w:val="auto"/>
          <w:kern w:val="0"/>
          <w:sz w:val="32"/>
          <w:szCs w:val="32"/>
          <w:lang w:eastAsia="zh-CN"/>
        </w:rPr>
        <w:t>条</w:t>
      </w:r>
      <w:r>
        <w:rPr>
          <w:rFonts w:hint="eastAsia" w:ascii="Times New Roman" w:hAnsi="Times New Roman" w:eastAsia="仿宋_GB2312" w:cs="Times New Roman"/>
          <w:snapToGrid w:val="0"/>
          <w:color w:val="auto"/>
          <w:kern w:val="0"/>
          <w:sz w:val="32"/>
          <w:szCs w:val="32"/>
          <w:lang w:val="en-US" w:eastAsia="zh-CN"/>
        </w:rPr>
        <w:t xml:space="preserve"> </w:t>
      </w:r>
      <w:r>
        <w:rPr>
          <w:rFonts w:ascii="Times New Roman" w:hAnsi="Times New Roman" w:eastAsia="仿宋_GB2312" w:cs="Times New Roman"/>
          <w:snapToGrid w:val="0"/>
          <w:color w:val="auto"/>
          <w:kern w:val="0"/>
          <w:sz w:val="32"/>
          <w:szCs w:val="32"/>
        </w:rPr>
        <w:t>本</w:t>
      </w:r>
      <w:r>
        <w:rPr>
          <w:rFonts w:hint="eastAsia" w:ascii="Times New Roman" w:hAnsi="Times New Roman" w:eastAsia="仿宋_GB2312" w:cs="Times New Roman"/>
          <w:snapToGrid w:val="0"/>
          <w:color w:val="auto"/>
          <w:kern w:val="0"/>
          <w:sz w:val="32"/>
          <w:szCs w:val="32"/>
          <w:lang w:val="en-US" w:eastAsia="zh-CN"/>
        </w:rPr>
        <w:t>暂行补充规定</w:t>
      </w:r>
      <w:r>
        <w:rPr>
          <w:rFonts w:ascii="Times New Roman" w:hAnsi="Times New Roman" w:eastAsia="仿宋_GB2312" w:cs="Times New Roman"/>
          <w:snapToGrid w:val="0"/>
          <w:color w:val="auto"/>
          <w:kern w:val="0"/>
          <w:sz w:val="32"/>
          <w:szCs w:val="32"/>
        </w:rPr>
        <w:t>自</w:t>
      </w:r>
      <w:r>
        <w:rPr>
          <w:rFonts w:hint="eastAsia" w:ascii="Times New Roman" w:hAnsi="Times New Roman" w:eastAsia="仿宋_GB2312" w:cs="Times New Roman"/>
          <w:snapToGrid w:val="0"/>
          <w:color w:val="auto"/>
          <w:kern w:val="0"/>
          <w:sz w:val="32"/>
          <w:szCs w:val="32"/>
          <w:lang w:eastAsia="zh-CN"/>
        </w:rPr>
        <w:t>公布之日</w:t>
      </w:r>
      <w:r>
        <w:rPr>
          <w:rFonts w:hint="eastAsia" w:ascii="Times New Roman" w:hAnsi="Times New Roman" w:eastAsia="仿宋_GB2312" w:cs="Times New Roman"/>
          <w:snapToGrid w:val="0"/>
          <w:color w:val="auto"/>
          <w:kern w:val="0"/>
          <w:sz w:val="32"/>
          <w:szCs w:val="32"/>
        </w:rPr>
        <w:t>起</w:t>
      </w:r>
      <w:r>
        <w:rPr>
          <w:rFonts w:ascii="Times New Roman" w:hAnsi="Times New Roman" w:eastAsia="仿宋_GB2312" w:cs="Times New Roman"/>
          <w:snapToGrid w:val="0"/>
          <w:color w:val="auto"/>
          <w:kern w:val="0"/>
          <w:sz w:val="32"/>
          <w:szCs w:val="32"/>
        </w:rPr>
        <w:t>实施</w:t>
      </w:r>
      <w:r>
        <w:rPr>
          <w:rFonts w:hint="eastAsia" w:ascii="Times New Roman" w:hAnsi="Times New Roman" w:eastAsia="仿宋_GB2312" w:cs="Times New Roman"/>
          <w:snapToGrid w:val="0"/>
          <w:color w:val="auto"/>
          <w:kern w:val="0"/>
          <w:sz w:val="32"/>
          <w:szCs w:val="32"/>
          <w:lang w:eastAsia="zh-CN"/>
        </w:rPr>
        <w:t>，有效</w:t>
      </w:r>
      <w:r>
        <w:rPr>
          <w:rFonts w:hint="eastAsia" w:ascii="Times New Roman" w:hAnsi="Times New Roman" w:eastAsia="仿宋_GB2312" w:cs="Times New Roman"/>
          <w:snapToGrid w:val="0"/>
          <w:color w:val="auto"/>
          <w:kern w:val="0"/>
          <w:sz w:val="32"/>
          <w:szCs w:val="32"/>
          <w:lang w:val="en-US" w:eastAsia="zh-CN"/>
        </w:rPr>
        <w:t>二年</w:t>
      </w:r>
      <w:r>
        <w:rPr>
          <w:rFonts w:ascii="Times New Roman" w:hAnsi="Times New Roman" w:eastAsia="仿宋_GB2312" w:cs="Times New Roman"/>
          <w:snapToGrid w:val="0"/>
          <w:color w:val="auto"/>
          <w:kern w:val="0"/>
          <w:sz w:val="32"/>
          <w:szCs w:val="32"/>
        </w:rPr>
        <w:t>。</w:t>
      </w:r>
    </w:p>
    <w:p/>
    <w:p/>
    <w:sectPr>
      <w:footerReference r:id="rId6" w:type="first"/>
      <w:headerReference r:id="rId3" w:type="default"/>
      <w:footerReference r:id="rId4" w:type="default"/>
      <w:footerReference r:id="rId5" w:type="even"/>
      <w:pgSz w:w="11906" w:h="16838"/>
      <w:pgMar w:top="1701" w:right="1644" w:bottom="1701" w:left="1644" w:header="851" w:footer="992" w:gutter="0"/>
      <w:pgNumType w:fmt="decimal"/>
      <w:cols w:space="720" w:num="1"/>
      <w:docGrid w:type="linesAndChars" w:linePitch="610" w:charSpace="-28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jc w:val="right"/>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11</w:t>
                          </w:r>
                          <w:r>
                            <w:rPr>
                              <w:rFonts w:ascii="Times New Roman" w:hAnsi="Times New Roman"/>
                              <w:sz w:val="28"/>
                              <w:szCs w:val="28"/>
                            </w:rPr>
                            <w:fldChar w:fldCharType="end"/>
                          </w:r>
                          <w:r>
                            <w:rPr>
                              <w:rFonts w:ascii="Times New Roman" w:hAnsi="Times New Roman"/>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2"/>
                      <w:jc w:val="right"/>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11</w:t>
                    </w:r>
                    <w:r>
                      <w:rPr>
                        <w:rFonts w:ascii="Times New Roman" w:hAnsi="Times New Roman"/>
                        <w:sz w:val="28"/>
                        <w:szCs w:val="28"/>
                      </w:rPr>
                      <w:fldChar w:fldCharType="end"/>
                    </w:r>
                    <w:r>
                      <w:rPr>
                        <w:rFonts w:ascii="Times New Roman" w:hAnsi="Times New Roman"/>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24</w:t>
    </w:r>
    <w:r>
      <w:rPr>
        <w:rFonts w:ascii="Times New Roman" w:hAnsi="Times New Roman"/>
        <w:sz w:val="28"/>
        <w:szCs w:val="28"/>
      </w:rPr>
      <w:fldChar w:fldCharType="end"/>
    </w:r>
    <w:r>
      <w:rPr>
        <w:rFonts w:ascii="Times New Roman" w:hAnsi="Times New Roman"/>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5ZWNiYWFlMDA1MmM2MjI0Y2E4YmQ5M2UxOWQyOTcifQ=="/>
  </w:docVars>
  <w:rsids>
    <w:rsidRoot w:val="61712825"/>
    <w:rsid w:val="2017585F"/>
    <w:rsid w:val="497E7DB5"/>
    <w:rsid w:val="61712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paragraph" w:customStyle="1" w:styleId="7">
    <w:name w:val="标题 #2"/>
    <w:basedOn w:val="1"/>
    <w:qFormat/>
    <w:uiPriority w:val="0"/>
    <w:pPr>
      <w:shd w:val="clear" w:color="auto" w:fill="FFFFFF"/>
      <w:spacing w:after="520"/>
      <w:jc w:val="center"/>
      <w:outlineLvl w:val="1"/>
    </w:pPr>
    <w:rPr>
      <w:rFonts w:ascii="MingLiU" w:hAnsi="MingLiU" w:eastAsia="MingLiU" w:cs="MingLiU"/>
      <w:sz w:val="40"/>
      <w:szCs w:val="40"/>
      <w:lang w:val="zh-CN" w:bidi="zh-CN"/>
    </w:rPr>
  </w:style>
  <w:style w:type="paragraph" w:customStyle="1" w:styleId="8">
    <w:name w:val="正文文本1"/>
    <w:basedOn w:val="1"/>
    <w:qFormat/>
    <w:uiPriority w:val="0"/>
    <w:pPr>
      <w:shd w:val="clear" w:color="auto" w:fill="FFFFFF"/>
      <w:spacing w:line="401" w:lineRule="auto"/>
      <w:ind w:firstLine="400"/>
    </w:pPr>
    <w:rPr>
      <w:rFonts w:ascii="MingLiU" w:hAnsi="MingLiU" w:eastAsia="MingLiU" w:cs="MingLiU"/>
      <w:sz w:val="28"/>
      <w:szCs w:val="28"/>
      <w:lang w:val="zh-CN" w:bidi="zh-CN"/>
    </w:rPr>
  </w:style>
  <w:style w:type="paragraph" w:customStyle="1" w:styleId="9">
    <w:name w:val="样式1"/>
    <w:basedOn w:val="1"/>
    <w:qFormat/>
    <w:uiPriority w:val="0"/>
    <w:pPr>
      <w:spacing w:line="760" w:lineRule="exact"/>
      <w:ind w:firstLine="800" w:firstLineChars="200"/>
      <w:outlineLvl w:val="0"/>
    </w:pPr>
    <w:rPr>
      <w:rFonts w:ascii="Times New Roman" w:hAnsi="Times New Roman" w:eastAsia="黑体"/>
      <w:sz w:val="40"/>
      <w:szCs w:val="40"/>
    </w:rPr>
  </w:style>
  <w:style w:type="paragraph" w:customStyle="1" w:styleId="10">
    <w:name w:val="正文3"/>
    <w:qFormat/>
    <w:uiPriority w:val="0"/>
    <w:pPr>
      <w:jc w:val="both"/>
    </w:pPr>
    <w:rPr>
      <w:rFonts w:ascii="等线" w:hAnsi="等线"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1989</Words>
  <Characters>2025</Characters>
  <Lines>0</Lines>
  <Paragraphs>0</Paragraphs>
  <TotalTime>18</TotalTime>
  <ScaleCrop>false</ScaleCrop>
  <LinksUpToDate>false</LinksUpToDate>
  <CharactersWithSpaces>2048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2022-12-27T01:49:00Z</dcterms:created>
  <dc:creator>Administrator</dc:creator>
  <cp:lastModifiedBy>Administrator</cp:lastModifiedBy>
  <dcterms:modified xsi:type="dcterms:W3CDTF">2022-12-27T08:04:39Z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4D092973C78C4BB0898CF9AE4563ECBF</vt:lpwstr>
  </property>
</Properties>
</file>