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5" w:leftChars="50"/>
        <w:rPr>
          <w:rFonts w:hint="eastAsia" w:ascii="方正小标宋简体" w:eastAsia="方正小标宋简体"/>
          <w:color w:val="auto"/>
          <w:spacing w:val="46"/>
          <w:w w:val="72"/>
          <w:sz w:val="76"/>
          <w:szCs w:val="76"/>
          <w:highlight w:val="none"/>
        </w:rPr>
      </w:pPr>
    </w:p>
    <w:p>
      <w:pPr>
        <w:ind w:left="105" w:leftChars="50"/>
        <w:rPr>
          <w:rFonts w:hint="eastAsia" w:ascii="方正小标宋简体" w:eastAsia="方正小标宋简体"/>
          <w:color w:val="auto"/>
          <w:spacing w:val="46"/>
          <w:w w:val="72"/>
          <w:sz w:val="76"/>
          <w:szCs w:val="76"/>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1798320</wp:posOffset>
                </wp:positionH>
                <wp:positionV relativeFrom="paragraph">
                  <wp:posOffset>172085</wp:posOffset>
                </wp:positionV>
                <wp:extent cx="3037205" cy="128016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3037205" cy="1280160"/>
                        </a:xfrm>
                        <a:prstGeom prst="rect">
                          <a:avLst/>
                        </a:prstGeom>
                        <a:noFill/>
                        <a:ln>
                          <a:noFill/>
                        </a:ln>
                      </wps:spPr>
                      <wps:txbx>
                        <w:txbxContent>
                          <w:p>
                            <w:pPr>
                              <w:ind w:firstLine="560" w:firstLineChars="100"/>
                              <w:jc w:val="left"/>
                              <w:rPr>
                                <w:rFonts w:hint="default" w:eastAsia="方正小标宋简体"/>
                                <w:sz w:val="56"/>
                                <w:szCs w:val="56"/>
                                <w:lang w:val="en-US" w:eastAsia="zh-CN"/>
                              </w:rPr>
                            </w:pPr>
                            <w:r>
                              <w:rPr>
                                <w:rFonts w:hint="eastAsia" w:ascii="方正小标宋简体" w:eastAsia="方正小标宋简体"/>
                                <w:color w:val="FF0000"/>
                                <w:sz w:val="56"/>
                                <w:szCs w:val="56"/>
                                <w:lang w:val="en-US" w:eastAsia="zh-CN"/>
                              </w:rPr>
                              <w:t>科学技术局</w:t>
                            </w:r>
                            <w:r>
                              <w:rPr>
                                <w:rFonts w:hint="eastAsia" w:ascii="方正小标宋简体" w:eastAsia="方正小标宋简体"/>
                                <w:color w:val="FF0000"/>
                                <w:sz w:val="52"/>
                                <w:szCs w:val="52"/>
                                <w:lang w:val="en-US" w:eastAsia="zh-CN"/>
                              </w:rPr>
                              <w:t xml:space="preserve">     </w:t>
                            </w:r>
                            <w:r>
                              <w:rPr>
                                <w:rFonts w:hint="eastAsia" w:ascii="方正小标宋简体" w:eastAsia="方正小标宋简体"/>
                                <w:color w:val="FF0000"/>
                                <w:sz w:val="56"/>
                                <w:szCs w:val="56"/>
                                <w:lang w:val="en-US" w:eastAsia="zh-CN"/>
                              </w:rPr>
                              <w:t>发展和改革委员会</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41.6pt;margin-top:13.55pt;height:100.8pt;width:239.15pt;mso-wrap-distance-bottom:0pt;mso-wrap-distance-left:9pt;mso-wrap-distance-right:9pt;mso-wrap-distance-top:0pt;z-index:251661312;mso-width-relative:page;mso-height-relative:margin;mso-height-percent:200;" filled="f" stroked="f" coordsize="21600,21600" o:gfxdata="UEsDBAoAAAAAAIdO4kAAAAAAAAAAAAAAAAAEAAAAZHJzL1BLAwQUAAAACACHTuJASvqXd9cAAAAK&#10;AQAADwAAAGRycy9kb3ducmV2LnhtbE2Py07DMBBF90j8gzVI7KgdI5ooxKkQassSKBFrN54mUeOH&#10;Yjctf8+wort5HN05U60udmQzTnHwTkG2EMDQtd4MrlPQfG0eCmAxaWf06B0q+MEIq/r2ptKl8Wf3&#10;ifMudYxCXCy1gj6lUHIe2x6tjgsf0NHu4CerE7VTx82kzxRuRy6FWHKrB0cXeh3wtcf2uDtZBSGF&#10;bf42vX+8rDezaL63jRy6tVL3d5l4Bpbwkv5h+NMndajJae9PzkQ2KpDFoySUijwDRkC+zJ6A7Wkg&#10;ixx4XfHrF+pfUEsDBBQAAAAIAIdO4kAuCh61ugEAAGkDAAAOAAAAZHJzL2Uyb0RvYy54bWytU0tu&#10;2zAQ3RfIHQjuY0oKkgaC5aCFkWyKtkCaA9AUZRHgDxzaki/Q3qCrbrrvuXyODinFaZNNFtlQ5Mzj&#10;m3lvqOXNaDTZywDK2YaWi4ISaYVrld029OHb7fk1JRC5bbl2Vjb0IIHerM7eLQdfy8r1TrcyECSx&#10;UA++oX2MvmYMRC8Nh4Xz0mKyc8HwiMewZW3gA7IbzaqiuGKDC60PTkgAjK6nJJ0Zw2sIXdcpIddO&#10;7Iy0cWINUvOIkqBXHugqd9t1UsQvXQcyEt1QVBrzikVwv0krWy15vQ3c90rMLfDXtPBMk+HKYtET&#10;1ZpHTnZBvaAySgQHrosL4QybhGRHUEVZPPPmvudeZi1oNfiT6fB2tOLz/msgqm1oRYnlBgd+/Pnj&#10;+OvP8fd3UiV7Bg81ou494uL40Y34aB7jgMGkeuyCSV/UQzCP5h5O5soxEoHBi+LifVVcUiIwV1bX&#10;RXmV7WdP132AeCedIWnT0IDTy6by/SeI2ApCHyGpmnW3Sus8QW3/CyAwRVjqfeox7eK4GWdBG9ce&#10;UM/OB7XtsVSZ64D/sItImmulGxNsJsIJ5Bbm15JG/O85o57+k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vqXd9cAAAAKAQAADwAAAAAAAAABACAAAAAiAAAAZHJzL2Rvd25yZXYueG1sUEsBAhQA&#10;FAAAAAgAh07iQC4KHrW6AQAAaQMAAA4AAAAAAAAAAQAgAAAAJgEAAGRycy9lMm9Eb2MueG1sUEsF&#10;BgAAAAAGAAYAWQEAAFIFAAAAAA==&#10;">
                <v:fill on="f" focussize="0,0"/>
                <v:stroke on="f"/>
                <v:imagedata o:title=""/>
                <o:lock v:ext="edit" aspectratio="f"/>
                <v:textbox style="mso-fit-shape-to-text:t;">
                  <w:txbxContent>
                    <w:p>
                      <w:pPr>
                        <w:ind w:firstLine="560" w:firstLineChars="100"/>
                        <w:jc w:val="left"/>
                        <w:rPr>
                          <w:rFonts w:hint="default" w:eastAsia="方正小标宋简体"/>
                          <w:sz w:val="56"/>
                          <w:szCs w:val="56"/>
                          <w:lang w:val="en-US" w:eastAsia="zh-CN"/>
                        </w:rPr>
                      </w:pPr>
                      <w:r>
                        <w:rPr>
                          <w:rFonts w:hint="eastAsia" w:ascii="方正小标宋简体" w:eastAsia="方正小标宋简体"/>
                          <w:color w:val="FF0000"/>
                          <w:sz w:val="56"/>
                          <w:szCs w:val="56"/>
                          <w:lang w:val="en-US" w:eastAsia="zh-CN"/>
                        </w:rPr>
                        <w:t>科学技术局</w:t>
                      </w:r>
                      <w:r>
                        <w:rPr>
                          <w:rFonts w:hint="eastAsia" w:ascii="方正小标宋简体" w:eastAsia="方正小标宋简体"/>
                          <w:color w:val="FF0000"/>
                          <w:sz w:val="52"/>
                          <w:szCs w:val="52"/>
                          <w:lang w:val="en-US" w:eastAsia="zh-CN"/>
                        </w:rPr>
                        <w:t xml:space="preserve">     </w:t>
                      </w:r>
                      <w:r>
                        <w:rPr>
                          <w:rFonts w:hint="eastAsia" w:ascii="方正小标宋简体" w:eastAsia="方正小标宋简体"/>
                          <w:color w:val="FF0000"/>
                          <w:sz w:val="56"/>
                          <w:szCs w:val="56"/>
                          <w:lang w:val="en-US" w:eastAsia="zh-CN"/>
                        </w:rPr>
                        <w:t>发展和改革委员会</w:t>
                      </w:r>
                    </w:p>
                  </w:txbxContent>
                </v:textbox>
                <w10:wrap type="square"/>
              </v:shape>
            </w:pict>
          </mc:Fallback>
        </mc:AlternateContent>
      </w:r>
      <w:r>
        <w:rPr>
          <w:rFonts w:hint="eastAsia" w:ascii="方正小标宋简体" w:eastAsia="方正小标宋简体"/>
          <w:color w:val="auto"/>
          <w:spacing w:val="46"/>
          <w:w w:val="72"/>
          <w:sz w:val="76"/>
          <w:szCs w:val="76"/>
          <w:highlight w:val="none"/>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215265</wp:posOffset>
                </wp:positionV>
                <wp:extent cx="1884680" cy="1123950"/>
                <wp:effectExtent l="0" t="0" r="1270" b="0"/>
                <wp:wrapNone/>
                <wp:docPr id="3" name="文本框 3"/>
                <wp:cNvGraphicFramePr/>
                <a:graphic xmlns:a="http://schemas.openxmlformats.org/drawingml/2006/main">
                  <a:graphicData uri="http://schemas.microsoft.com/office/word/2010/wordprocessingShape">
                    <wps:wsp>
                      <wps:cNvSpPr txBox="1"/>
                      <wps:spPr>
                        <a:xfrm>
                          <a:off x="0" y="0"/>
                          <a:ext cx="1884680" cy="1123950"/>
                        </a:xfrm>
                        <a:prstGeom prst="rect">
                          <a:avLst/>
                        </a:prstGeom>
                        <a:solidFill>
                          <a:srgbClr val="FFFFFF"/>
                        </a:solidFill>
                        <a:ln>
                          <a:noFill/>
                        </a:ln>
                      </wps:spPr>
                      <wps:txbx>
                        <w:txbxContent>
                          <w:p>
                            <w:pPr>
                              <w:rPr>
                                <w:rFonts w:hint="eastAsia" w:ascii="方正小标宋简体" w:eastAsia="方正小标宋简体"/>
                                <w:color w:val="FF0000"/>
                                <w:w w:val="80"/>
                                <w:sz w:val="112"/>
                                <w:szCs w:val="112"/>
                              </w:rPr>
                            </w:pPr>
                            <w:r>
                              <w:rPr>
                                <w:rFonts w:hint="eastAsia" w:ascii="方正小标宋简体" w:eastAsia="方正小标宋简体"/>
                                <w:color w:val="FF0000"/>
                                <w:w w:val="80"/>
                                <w:sz w:val="112"/>
                                <w:szCs w:val="112"/>
                              </w:rPr>
                              <w:t>蚌埠市</w:t>
                            </w:r>
                          </w:p>
                        </w:txbxContent>
                      </wps:txbx>
                      <wps:bodyPr upright="1"/>
                    </wps:wsp>
                  </a:graphicData>
                </a:graphic>
              </wp:anchor>
            </w:drawing>
          </mc:Choice>
          <mc:Fallback>
            <w:pict>
              <v:shape id="_x0000_s1026" o:spid="_x0000_s1026" o:spt="202" type="#_x0000_t202" style="position:absolute;left:0pt;margin-left:-0.4pt;margin-top:16.95pt;height:88.5pt;width:148.4pt;z-index:251660288;mso-width-relative:page;mso-height-relative:page;" fillcolor="#FFFFFF" filled="t" stroked="f" coordsize="21600,21600" o:gfxdata="UEsDBAoAAAAAAIdO4kAAAAAAAAAAAAAAAAAEAAAAZHJzL1BLAwQUAAAACACHTuJAV3u1b9YAAAAI&#10;AQAADwAAAGRycy9kb3ducmV2LnhtbE2PwU7DMBBE70j8g7VIXBB10kJKQpxKIIG4tvQDNvE2iYjX&#10;Uew27d+zPcFtVrOaeVNuzm5QJ5pC79lAukhAETfe9twa2H9/PL6AChHZ4uCZDFwowKa6vSmxsH7m&#10;LZ12sVUSwqFAA12MY6F1aDpyGBZ+JBbv4CeHUc6p1XbCWcLdoJdJkmmHPUtDhyO9d9T87I7OwOFr&#10;fnjO5/oz7tfbp+wN+3XtL8bc36XJK6hI5/j3DFd8QYdKmGp/ZBvUYOAKHg2sVjkosZd5JtNqEWmS&#10;g65K/X9A9QtQSwMEFAAAAAgAh07iQA+pszPEAQAAeAMAAA4AAABkcnMvZTJvRG9jLnhtbK1TS27b&#10;MBDdF+gdCO5r+dMGjmA5QGq4m6ItkPYANEVJBEgOwaEt+QLtDbrqpvuey+fokHKcNN1kES0kcubN&#10;47w31OpmsIYdVEANruKzyZQz5STU2rUV//Z1+2bJGUbhamHAqYofFfKb9etXq96Xag4dmFoFRiQO&#10;y95XvIvRl0WBslNW4AS8cpRsIFgRaRvaog6iJ3Zrivl0elX0EGofQCpEim7GJD8zhucQQtNoqTYg&#10;91a5OLIGZUQkSdhpj3ydu20aJePnpkEVmak4KY35TYfQepfexXolyjYI32l5bkE8p4UnmqzQjg69&#10;UG1EFGwf9H9UVssACE2cSLDFKCQ7Qipm0yfe3HXCq6yFrEZ/MR1fjlZ+OnwJTNcVX3DmhKWBn37+&#10;OP36c/r9nS2SPb3HklB3nnBxuIWBLs19HCmYVA9NsOlLehjlydzjxVw1RCZT0XL59mpJKUm52Wy+&#10;uH6X7S8eyn3A+EGBZWlR8UDTy6aKw0eM1ApB7yHpNASj6602Jm9Cu3tvAjsImvQ2P6lLKvkHZlwC&#10;O0hlYzpFiiRyFJNWcdgNZ+U7qI8kfO+DbjvqKUvPcBpIpj9fnjTxx/tM+vDDr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3u1b9YAAAAIAQAADwAAAAAAAAABACAAAAAiAAAAZHJzL2Rvd25yZXYu&#10;eG1sUEsBAhQAFAAAAAgAh07iQA+pszPEAQAAeAMAAA4AAAAAAAAAAQAgAAAAJQEAAGRycy9lMm9E&#10;b2MueG1sUEsFBgAAAAAGAAYAWQEAAFsFAAAAAA==&#10;">
                <v:fill on="t" focussize="0,0"/>
                <v:stroke on="f"/>
                <v:imagedata o:title=""/>
                <o:lock v:ext="edit" aspectratio="f"/>
                <v:textbox>
                  <w:txbxContent>
                    <w:p>
                      <w:pPr>
                        <w:rPr>
                          <w:rFonts w:hint="eastAsia" w:ascii="方正小标宋简体" w:eastAsia="方正小标宋简体"/>
                          <w:color w:val="FF0000"/>
                          <w:w w:val="80"/>
                          <w:sz w:val="112"/>
                          <w:szCs w:val="112"/>
                        </w:rPr>
                      </w:pPr>
                      <w:r>
                        <w:rPr>
                          <w:rFonts w:hint="eastAsia" w:ascii="方正小标宋简体" w:eastAsia="方正小标宋简体"/>
                          <w:color w:val="FF0000"/>
                          <w:w w:val="80"/>
                          <w:sz w:val="112"/>
                          <w:szCs w:val="112"/>
                        </w:rPr>
                        <w:t>蚌埠市</w:t>
                      </w:r>
                    </w:p>
                  </w:txbxContent>
                </v:textbox>
              </v:shape>
            </w:pict>
          </mc:Fallback>
        </mc:AlternateContent>
      </w:r>
      <w:r>
        <w:rPr>
          <w:rFonts w:hint="eastAsia" w:ascii="方正小标宋简体" w:eastAsia="方正小标宋简体"/>
          <w:color w:val="auto"/>
          <w:spacing w:val="46"/>
          <w:w w:val="72"/>
          <w:sz w:val="76"/>
          <w:szCs w:val="76"/>
          <w:highlight w:val="none"/>
        </w:rPr>
        <mc:AlternateContent>
          <mc:Choice Requires="wps">
            <w:drawing>
              <wp:anchor distT="0" distB="0" distL="114300" distR="114300" simplePos="0" relativeHeight="251659264" behindDoc="0" locked="0" layoutInCell="1" allowOverlap="1">
                <wp:simplePos x="0" y="0"/>
                <wp:positionH relativeFrom="column">
                  <wp:posOffset>4512945</wp:posOffset>
                </wp:positionH>
                <wp:positionV relativeFrom="paragraph">
                  <wp:posOffset>205740</wp:posOffset>
                </wp:positionV>
                <wp:extent cx="1473200" cy="1162050"/>
                <wp:effectExtent l="0" t="0" r="12700" b="0"/>
                <wp:wrapNone/>
                <wp:docPr id="4" name="文本框 4"/>
                <wp:cNvGraphicFramePr/>
                <a:graphic xmlns:a="http://schemas.openxmlformats.org/drawingml/2006/main">
                  <a:graphicData uri="http://schemas.microsoft.com/office/word/2010/wordprocessingShape">
                    <wps:wsp>
                      <wps:cNvSpPr txBox="1"/>
                      <wps:spPr>
                        <a:xfrm>
                          <a:off x="0" y="0"/>
                          <a:ext cx="1473200" cy="1162050"/>
                        </a:xfrm>
                        <a:prstGeom prst="rect">
                          <a:avLst/>
                        </a:prstGeom>
                        <a:solidFill>
                          <a:srgbClr val="FFFFFF"/>
                        </a:solidFill>
                        <a:ln>
                          <a:noFill/>
                        </a:ln>
                      </wps:spPr>
                      <wps:txbx>
                        <w:txbxContent>
                          <w:p>
                            <w:pPr>
                              <w:jc w:val="right"/>
                              <w:rPr>
                                <w:rFonts w:hint="eastAsia" w:ascii="方正小标宋简体" w:eastAsia="方正小标宋简体"/>
                                <w:color w:val="FF0000"/>
                                <w:w w:val="80"/>
                                <w:sz w:val="84"/>
                                <w:szCs w:val="84"/>
                              </w:rPr>
                            </w:pPr>
                            <w:r>
                              <w:rPr>
                                <w:rFonts w:hint="eastAsia" w:ascii="方正小标宋简体" w:eastAsia="方正小标宋简体"/>
                                <w:color w:val="FF0000"/>
                                <w:w w:val="80"/>
                                <w:sz w:val="112"/>
                                <w:szCs w:val="112"/>
                              </w:rPr>
                              <w:t>文件</w:t>
                            </w:r>
                          </w:p>
                        </w:txbxContent>
                      </wps:txbx>
                      <wps:bodyPr upright="1"/>
                    </wps:wsp>
                  </a:graphicData>
                </a:graphic>
              </wp:anchor>
            </w:drawing>
          </mc:Choice>
          <mc:Fallback>
            <w:pict>
              <v:shape id="_x0000_s1026" o:spid="_x0000_s1026" o:spt="202" type="#_x0000_t202" style="position:absolute;left:0pt;margin-left:355.35pt;margin-top:16.2pt;height:91.5pt;width:116pt;z-index:251659264;mso-width-relative:page;mso-height-relative:page;" fillcolor="#FFFFFF" filled="t" stroked="f" coordsize="21600,21600" o:gfxdata="UEsDBAoAAAAAAIdO4kAAAAAAAAAAAAAAAAAEAAAAZHJzL1BLAwQUAAAACACHTuJAwHcTkNgAAAAK&#10;AQAADwAAAGRycy9kb3ducmV2LnhtbE2PwU7DMAyG70i8Q+RJXBBLWrqVdXUngQTiurEHcBuvrWiS&#10;qsnW7e0JJzja/vT7+8vd1QziwpPvnUVIlgoE28bp3rYIx6/3pxcQPpDVNDjLCDf2sKvu70oqtJvt&#10;ni+H0IoYYn1BCF0IYyGlbzo25JduZBtvJzcZCnGcWqknmmO4GWSq1Foa6m380NHIbx0334ezQTh9&#10;zo+rzVx/hGO+z9av1Oe1uyE+LBK1BRH4Gv5g+NWP6lBFp9qdrfZiQMgTlUcU4TnNQERgk6VxUSOk&#10;ySoDWZXyf4XqB1BLAwQUAAAACACHTuJAHFdEOMMBAAB4AwAADgAAAGRycy9lMm9Eb2MueG1srVPB&#10;jtMwEL0j8Q+W7zRpKQuKmq4EVbkgQNrlA1zHSSzZHmvsNukPwB9w4sKd7+p3MHa6Xdi97GFzSOyZ&#10;N8/z3jir69EadlAYNLiaz2clZ8pJaLTrav7tdvvqHWchCtcIA07V/KgCv16/fLEafKUW0INpFDIi&#10;caEafM37GH1VFEH2yoowA68cJVtAKyJtsSsaFAOxW1MsyvKqGAAbjyBVCBTdTEl+ZsSnEELbaqk2&#10;IPdWuTixojIikqTQax/4OnfbtkrGL20bVGSm5qQ05jcdQutdehfrlag6FL7X8tyCeEoLDzRZoR0d&#10;eqHaiCjYHvUjKqslQoA2ziTYYhKSHSEV8/KBNze98CprIauDv5geno9Wfj58Raabmi85c8LSwE8/&#10;f5x+/Tn9/s6WyZ7Bh4pQN55wcXwPI12au3igYFI9tmjTl/QwypO5x4u5aoxMpqLl29c0f84k5ebz&#10;q0X5Jttf3Jd7DPGjAsvSouZI08umisOnEKkVgt5B0mkBjG622pi8wW73wSA7CJr0Nj+pSyr5D2Zc&#10;AjtIZVM6RYokchKTVnHcjWflO2iOJHzvUXc99ZSlZzgNJNOfL0+a+L/7THr/w6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B3E5DYAAAACgEAAA8AAAAAAAAAAQAgAAAAIgAAAGRycy9kb3ducmV2&#10;LnhtbFBLAQIUABQAAAAIAIdO4kAcV0Q4wwEAAHgDAAAOAAAAAAAAAAEAIAAAACcBAABkcnMvZTJv&#10;RG9jLnhtbFBLBQYAAAAABgAGAFkBAABcBQAAAAA=&#10;">
                <v:fill on="t" focussize="0,0"/>
                <v:stroke on="f"/>
                <v:imagedata o:title=""/>
                <o:lock v:ext="edit" aspectratio="f"/>
                <v:textbox>
                  <w:txbxContent>
                    <w:p>
                      <w:pPr>
                        <w:jc w:val="right"/>
                        <w:rPr>
                          <w:rFonts w:hint="eastAsia" w:ascii="方正小标宋简体" w:eastAsia="方正小标宋简体"/>
                          <w:color w:val="FF0000"/>
                          <w:w w:val="80"/>
                          <w:sz w:val="84"/>
                          <w:szCs w:val="84"/>
                        </w:rPr>
                      </w:pPr>
                      <w:r>
                        <w:rPr>
                          <w:rFonts w:hint="eastAsia" w:ascii="方正小标宋简体" w:eastAsia="方正小标宋简体"/>
                          <w:color w:val="FF0000"/>
                          <w:w w:val="80"/>
                          <w:sz w:val="112"/>
                          <w:szCs w:val="112"/>
                        </w:rPr>
                        <w:t>文件</w:t>
                      </w:r>
                    </w:p>
                  </w:txbxContent>
                </v:textbox>
              </v:shape>
            </w:pict>
          </mc:Fallback>
        </mc:AlternateContent>
      </w:r>
    </w:p>
    <w:p>
      <w:pPr>
        <w:jc w:val="center"/>
        <w:rPr>
          <w:rFonts w:hint="eastAsia" w:ascii="仿宋" w:hAnsi="仿宋" w:eastAsia="仿宋"/>
          <w:color w:val="auto"/>
          <w:sz w:val="32"/>
          <w:szCs w:val="32"/>
          <w:highlight w:val="none"/>
        </w:rPr>
      </w:pPr>
    </w:p>
    <w:p>
      <w:pPr>
        <w:jc w:val="center"/>
        <w:rPr>
          <w:rFonts w:hint="eastAsia" w:ascii="仿宋" w:hAnsi="仿宋" w:eastAsia="仿宋"/>
          <w:color w:val="auto"/>
          <w:sz w:val="32"/>
          <w:szCs w:val="32"/>
          <w:highlight w:val="none"/>
        </w:rPr>
      </w:pPr>
    </w:p>
    <w:p>
      <w:pPr>
        <w:jc w:val="center"/>
        <w:rPr>
          <w:rFonts w:hint="eastAsia" w:ascii="仿宋" w:hAnsi="仿宋" w:eastAsia="仿宋" w:cs="仿宋"/>
          <w:color w:val="auto"/>
          <w:spacing w:val="50"/>
          <w:sz w:val="32"/>
          <w:szCs w:val="32"/>
          <w:highlight w:val="none"/>
        </w:rPr>
      </w:pPr>
      <w:r>
        <w:rPr>
          <w:rFonts w:hint="eastAsia" w:ascii="仿宋" w:hAnsi="仿宋" w:eastAsia="仿宋" w:cs="仿宋"/>
          <w:color w:val="auto"/>
          <w:sz w:val="32"/>
          <w:szCs w:val="32"/>
          <w:highlight w:val="none"/>
        </w:rPr>
        <w:t>蚌科〔20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25</w:t>
      </w:r>
      <w:r>
        <w:rPr>
          <w:rFonts w:hint="eastAsia" w:ascii="仿宋" w:hAnsi="仿宋" w:eastAsia="仿宋" w:cs="仿宋"/>
          <w:color w:val="auto"/>
          <w:sz w:val="32"/>
          <w:szCs w:val="32"/>
          <w:highlight w:val="none"/>
        </w:rPr>
        <w:t>号</w:t>
      </w:r>
    </w:p>
    <w:tbl>
      <w:tblPr>
        <w:tblStyle w:val="10"/>
        <w:tblW w:w="9078" w:type="dxa"/>
        <w:tblInd w:w="220" w:type="dxa"/>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Layout w:type="autofit"/>
        <w:tblCellMar>
          <w:top w:w="0" w:type="dxa"/>
          <w:left w:w="108" w:type="dxa"/>
          <w:bottom w:w="0" w:type="dxa"/>
          <w:right w:w="108" w:type="dxa"/>
        </w:tblCellMar>
      </w:tblPr>
      <w:tblGrid>
        <w:gridCol w:w="727"/>
        <w:gridCol w:w="727"/>
        <w:gridCol w:w="727"/>
        <w:gridCol w:w="727"/>
        <w:gridCol w:w="727"/>
        <w:gridCol w:w="727"/>
        <w:gridCol w:w="727"/>
        <w:gridCol w:w="727"/>
        <w:gridCol w:w="727"/>
        <w:gridCol w:w="727"/>
        <w:gridCol w:w="727"/>
        <w:gridCol w:w="1081"/>
      </w:tblGrid>
      <w:tr>
        <w:tblPrEx>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CellMar>
            <w:top w:w="0" w:type="dxa"/>
            <w:left w:w="108" w:type="dxa"/>
            <w:bottom w:w="0" w:type="dxa"/>
            <w:right w:w="108" w:type="dxa"/>
          </w:tblCellMar>
        </w:tblPrEx>
        <w:trPr>
          <w:trHeight w:val="150" w:hRule="atLeast"/>
        </w:trPr>
        <w:tc>
          <w:tcPr>
            <w:tcW w:w="727" w:type="dxa"/>
            <w:tcBorders>
              <w:left w:val="nil"/>
              <w:bottom w:val="nil"/>
              <w:right w:val="nil"/>
            </w:tcBorders>
            <w:noWrap w:val="0"/>
            <w:vAlign w:val="top"/>
          </w:tcPr>
          <w:p>
            <w:pPr>
              <w:jc w:val="right"/>
              <w:rPr>
                <w:rFonts w:hint="eastAsia" w:ascii="方正小标宋_GBK" w:eastAsia="方正小标宋_GBK"/>
                <w:color w:val="auto"/>
                <w:spacing w:val="50"/>
                <w:szCs w:val="21"/>
                <w:highlight w:val="none"/>
                <w:u w:val="single"/>
              </w:rPr>
            </w:pPr>
          </w:p>
        </w:tc>
        <w:tc>
          <w:tcPr>
            <w:tcW w:w="727" w:type="dxa"/>
            <w:tcBorders>
              <w:left w:val="nil"/>
              <w:bottom w:val="nil"/>
              <w:right w:val="nil"/>
            </w:tcBorders>
            <w:noWrap w:val="0"/>
            <w:vAlign w:val="top"/>
          </w:tcPr>
          <w:p>
            <w:pPr>
              <w:jc w:val="right"/>
              <w:rPr>
                <w:rFonts w:hint="eastAsia" w:ascii="方正小标宋_GBK" w:eastAsia="方正小标宋_GBK"/>
                <w:color w:val="auto"/>
                <w:spacing w:val="50"/>
                <w:szCs w:val="21"/>
                <w:highlight w:val="none"/>
                <w:u w:val="single"/>
              </w:rPr>
            </w:pPr>
          </w:p>
        </w:tc>
        <w:tc>
          <w:tcPr>
            <w:tcW w:w="727" w:type="dxa"/>
            <w:tcBorders>
              <w:left w:val="nil"/>
              <w:bottom w:val="nil"/>
              <w:right w:val="nil"/>
            </w:tcBorders>
            <w:noWrap w:val="0"/>
            <w:vAlign w:val="top"/>
          </w:tcPr>
          <w:p>
            <w:pPr>
              <w:jc w:val="right"/>
              <w:rPr>
                <w:rFonts w:hint="eastAsia" w:ascii="方正小标宋_GBK" w:eastAsia="方正小标宋_GBK"/>
                <w:color w:val="auto"/>
                <w:spacing w:val="50"/>
                <w:szCs w:val="21"/>
                <w:highlight w:val="none"/>
                <w:u w:val="single"/>
              </w:rPr>
            </w:pPr>
          </w:p>
        </w:tc>
        <w:tc>
          <w:tcPr>
            <w:tcW w:w="727" w:type="dxa"/>
            <w:tcBorders>
              <w:left w:val="nil"/>
              <w:bottom w:val="nil"/>
              <w:right w:val="nil"/>
            </w:tcBorders>
            <w:noWrap w:val="0"/>
            <w:vAlign w:val="top"/>
          </w:tcPr>
          <w:p>
            <w:pPr>
              <w:jc w:val="right"/>
              <w:rPr>
                <w:rFonts w:hint="eastAsia" w:ascii="方正小标宋_GBK" w:eastAsia="方正小标宋_GBK"/>
                <w:color w:val="auto"/>
                <w:spacing w:val="50"/>
                <w:szCs w:val="21"/>
                <w:highlight w:val="none"/>
                <w:u w:val="single"/>
              </w:rPr>
            </w:pPr>
          </w:p>
        </w:tc>
        <w:tc>
          <w:tcPr>
            <w:tcW w:w="727" w:type="dxa"/>
            <w:tcBorders>
              <w:left w:val="nil"/>
              <w:bottom w:val="nil"/>
              <w:right w:val="nil"/>
            </w:tcBorders>
            <w:noWrap w:val="0"/>
            <w:vAlign w:val="top"/>
          </w:tcPr>
          <w:p>
            <w:pPr>
              <w:jc w:val="right"/>
              <w:rPr>
                <w:rFonts w:hint="eastAsia" w:ascii="方正小标宋_GBK" w:eastAsia="方正小标宋_GBK"/>
                <w:color w:val="auto"/>
                <w:spacing w:val="50"/>
                <w:szCs w:val="21"/>
                <w:highlight w:val="none"/>
                <w:u w:val="single"/>
              </w:rPr>
            </w:pPr>
          </w:p>
        </w:tc>
        <w:tc>
          <w:tcPr>
            <w:tcW w:w="727" w:type="dxa"/>
            <w:tcBorders>
              <w:left w:val="nil"/>
              <w:bottom w:val="nil"/>
              <w:right w:val="nil"/>
            </w:tcBorders>
            <w:noWrap w:val="0"/>
            <w:vAlign w:val="top"/>
          </w:tcPr>
          <w:p>
            <w:pPr>
              <w:jc w:val="right"/>
              <w:rPr>
                <w:rFonts w:hint="eastAsia" w:ascii="方正小标宋_GBK" w:eastAsia="方正小标宋_GBK"/>
                <w:color w:val="auto"/>
                <w:spacing w:val="50"/>
                <w:szCs w:val="21"/>
                <w:highlight w:val="none"/>
                <w:u w:val="single"/>
              </w:rPr>
            </w:pPr>
          </w:p>
        </w:tc>
        <w:tc>
          <w:tcPr>
            <w:tcW w:w="727" w:type="dxa"/>
            <w:tcBorders>
              <w:left w:val="nil"/>
              <w:bottom w:val="nil"/>
              <w:right w:val="nil"/>
            </w:tcBorders>
            <w:noWrap w:val="0"/>
            <w:vAlign w:val="top"/>
          </w:tcPr>
          <w:p>
            <w:pPr>
              <w:jc w:val="right"/>
              <w:rPr>
                <w:rFonts w:hint="eastAsia" w:ascii="方正小标宋_GBK" w:eastAsia="方正小标宋_GBK"/>
                <w:color w:val="auto"/>
                <w:spacing w:val="50"/>
                <w:szCs w:val="21"/>
                <w:highlight w:val="none"/>
                <w:u w:val="single"/>
              </w:rPr>
            </w:pPr>
          </w:p>
        </w:tc>
        <w:tc>
          <w:tcPr>
            <w:tcW w:w="727" w:type="dxa"/>
            <w:tcBorders>
              <w:left w:val="nil"/>
              <w:bottom w:val="nil"/>
              <w:right w:val="nil"/>
            </w:tcBorders>
            <w:noWrap w:val="0"/>
            <w:vAlign w:val="top"/>
          </w:tcPr>
          <w:p>
            <w:pPr>
              <w:jc w:val="right"/>
              <w:rPr>
                <w:rFonts w:hint="eastAsia" w:ascii="方正小标宋_GBK" w:eastAsia="方正小标宋_GBK"/>
                <w:color w:val="auto"/>
                <w:spacing w:val="50"/>
                <w:szCs w:val="21"/>
                <w:highlight w:val="none"/>
                <w:u w:val="single"/>
              </w:rPr>
            </w:pPr>
          </w:p>
        </w:tc>
        <w:tc>
          <w:tcPr>
            <w:tcW w:w="727" w:type="dxa"/>
            <w:tcBorders>
              <w:left w:val="nil"/>
              <w:bottom w:val="nil"/>
              <w:right w:val="nil"/>
            </w:tcBorders>
            <w:noWrap w:val="0"/>
            <w:vAlign w:val="top"/>
          </w:tcPr>
          <w:p>
            <w:pPr>
              <w:jc w:val="right"/>
              <w:rPr>
                <w:rFonts w:hint="eastAsia" w:ascii="方正小标宋_GBK" w:eastAsia="方正小标宋_GBK"/>
                <w:color w:val="auto"/>
                <w:spacing w:val="50"/>
                <w:szCs w:val="21"/>
                <w:highlight w:val="none"/>
                <w:u w:val="single"/>
              </w:rPr>
            </w:pPr>
          </w:p>
        </w:tc>
        <w:tc>
          <w:tcPr>
            <w:tcW w:w="727" w:type="dxa"/>
            <w:tcBorders>
              <w:left w:val="nil"/>
              <w:bottom w:val="nil"/>
              <w:right w:val="nil"/>
            </w:tcBorders>
            <w:noWrap w:val="0"/>
            <w:vAlign w:val="top"/>
          </w:tcPr>
          <w:p>
            <w:pPr>
              <w:jc w:val="right"/>
              <w:rPr>
                <w:rFonts w:hint="eastAsia" w:ascii="方正小标宋_GBK" w:eastAsia="方正小标宋_GBK"/>
                <w:color w:val="auto"/>
                <w:spacing w:val="50"/>
                <w:szCs w:val="21"/>
                <w:highlight w:val="none"/>
                <w:u w:val="single"/>
              </w:rPr>
            </w:pPr>
          </w:p>
        </w:tc>
        <w:tc>
          <w:tcPr>
            <w:tcW w:w="727" w:type="dxa"/>
            <w:tcBorders>
              <w:left w:val="nil"/>
              <w:bottom w:val="nil"/>
              <w:right w:val="nil"/>
            </w:tcBorders>
            <w:noWrap w:val="0"/>
            <w:vAlign w:val="top"/>
          </w:tcPr>
          <w:p>
            <w:pPr>
              <w:jc w:val="right"/>
              <w:rPr>
                <w:rFonts w:hint="eastAsia" w:ascii="方正小标宋_GBK" w:eastAsia="方正小标宋_GBK"/>
                <w:color w:val="auto"/>
                <w:spacing w:val="50"/>
                <w:szCs w:val="21"/>
                <w:highlight w:val="none"/>
                <w:u w:val="single"/>
              </w:rPr>
            </w:pPr>
          </w:p>
        </w:tc>
        <w:tc>
          <w:tcPr>
            <w:tcW w:w="1081" w:type="dxa"/>
            <w:tcBorders>
              <w:left w:val="nil"/>
              <w:bottom w:val="nil"/>
              <w:right w:val="nil"/>
            </w:tcBorders>
            <w:noWrap w:val="0"/>
            <w:vAlign w:val="top"/>
          </w:tcPr>
          <w:p>
            <w:pPr>
              <w:jc w:val="right"/>
              <w:rPr>
                <w:rFonts w:hint="eastAsia" w:ascii="方正小标宋_GBK" w:eastAsia="方正小标宋_GBK"/>
                <w:color w:val="auto"/>
                <w:spacing w:val="50"/>
                <w:szCs w:val="21"/>
                <w:highlight w:val="none"/>
                <w:u w:val="single"/>
              </w:rPr>
            </w:pPr>
          </w:p>
        </w:tc>
      </w:tr>
    </w:tbl>
    <w:p>
      <w:pPr>
        <w:widowControl/>
        <w:shd w:val="clear" w:color="auto" w:fill="FFFFFF"/>
        <w:spacing w:line="600" w:lineRule="exact"/>
        <w:jc w:val="both"/>
        <w:rPr>
          <w:rFonts w:hint="eastAsia" w:ascii="方正小标宋简体" w:hAnsi="仿宋" w:eastAsia="方正小标宋简体" w:cs="仿宋"/>
          <w:color w:val="auto"/>
          <w:kern w:val="0"/>
          <w:sz w:val="44"/>
          <w:szCs w:val="44"/>
          <w:highlight w:val="none"/>
          <w:lang w:val="en-US" w:eastAsia="zh-CN"/>
        </w:rPr>
      </w:pPr>
      <w:r>
        <w:rPr>
          <w:rFonts w:hint="eastAsia" w:ascii="方正小标宋简体" w:hAnsi="仿宋" w:eastAsia="方正小标宋简体" w:cs="仿宋"/>
          <w:color w:val="auto"/>
          <w:kern w:val="0"/>
          <w:sz w:val="44"/>
          <w:szCs w:val="44"/>
          <w:highlight w:val="none"/>
          <w:lang w:val="en-US" w:eastAsia="zh-CN"/>
        </w:rPr>
        <w:t>关于印发《蚌埠市“十四五”科技创新发展</w:t>
      </w:r>
    </w:p>
    <w:p>
      <w:pPr>
        <w:widowControl/>
        <w:shd w:val="clear" w:color="auto" w:fill="FFFFFF"/>
        <w:spacing w:line="600" w:lineRule="exact"/>
        <w:jc w:val="center"/>
        <w:rPr>
          <w:rFonts w:hint="eastAsia" w:ascii="方正小标宋简体" w:hAnsi="仿宋" w:eastAsia="方正小标宋简体" w:cs="仿宋"/>
          <w:color w:val="auto"/>
          <w:kern w:val="0"/>
          <w:sz w:val="44"/>
          <w:szCs w:val="44"/>
          <w:highlight w:val="none"/>
          <w:lang w:val="en-US" w:eastAsia="zh-CN"/>
        </w:rPr>
      </w:pPr>
      <w:r>
        <w:rPr>
          <w:rFonts w:hint="eastAsia" w:ascii="方正小标宋简体" w:hAnsi="仿宋" w:eastAsia="方正小标宋简体" w:cs="仿宋"/>
          <w:color w:val="auto"/>
          <w:kern w:val="0"/>
          <w:sz w:val="44"/>
          <w:szCs w:val="44"/>
          <w:highlight w:val="none"/>
          <w:lang w:val="en-US" w:eastAsia="zh-CN"/>
        </w:rPr>
        <w:t>规划》的通知</w:t>
      </w:r>
    </w:p>
    <w:p>
      <w:pPr>
        <w:widowControl/>
        <w:shd w:val="clear" w:color="auto" w:fill="FFFFFF"/>
        <w:spacing w:line="420" w:lineRule="atLeast"/>
        <w:jc w:val="left"/>
        <w:rPr>
          <w:rFonts w:hint="eastAsia" w:ascii="仿宋" w:hAnsi="仿宋" w:eastAsia="仿宋" w:cs="仿宋"/>
          <w:color w:val="auto"/>
          <w:kern w:val="0"/>
          <w:sz w:val="32"/>
          <w:szCs w:val="32"/>
          <w:highlight w:val="none"/>
          <w:lang w:val="en-US" w:eastAsia="zh-CN"/>
        </w:rPr>
      </w:pPr>
    </w:p>
    <w:p>
      <w:pPr>
        <w:widowControl/>
        <w:shd w:val="clear" w:color="auto" w:fill="FFFFFF"/>
        <w:spacing w:line="420" w:lineRule="atLeast"/>
        <w:jc w:val="left"/>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各县、区人民政府，市政府各部门、各直属单位：</w:t>
      </w:r>
    </w:p>
    <w:p>
      <w:pPr>
        <w:widowControl/>
        <w:shd w:val="clear" w:color="auto" w:fill="FFFFFF"/>
        <w:spacing w:line="420" w:lineRule="atLeast"/>
        <w:ind w:firstLine="640" w:firstLineChars="200"/>
        <w:jc w:val="left"/>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现将《蚌埠市“十四五”科技创新发展规划》印发给你们，请结合实际，认真贯彻执行。</w:t>
      </w:r>
    </w:p>
    <w:p>
      <w:pPr>
        <w:pStyle w:val="15"/>
        <w:spacing w:after="312" w:afterLines="100" w:line="480" w:lineRule="auto"/>
        <w:ind w:firstLine="0" w:firstLineChars="0"/>
        <w:jc w:val="center"/>
        <w:rPr>
          <w:rFonts w:hint="eastAsia" w:ascii="仿宋" w:hAnsi="仿宋" w:eastAsia="仿宋" w:cs="仿宋"/>
          <w:color w:val="auto"/>
          <w:kern w:val="2"/>
          <w:sz w:val="32"/>
          <w:szCs w:val="32"/>
          <w:highlight w:val="none"/>
          <w:lang w:val="en-US" w:eastAsia="zh-CN" w:bidi="ar-SA"/>
        </w:rPr>
      </w:pPr>
    </w:p>
    <w:p>
      <w:pPr>
        <w:pStyle w:val="15"/>
        <w:spacing w:after="312" w:afterLines="100" w:line="480" w:lineRule="auto"/>
        <w:ind w:firstLine="0" w:firstLineChars="0"/>
        <w:jc w:val="center"/>
        <w:rPr>
          <w:rFonts w:hint="eastAsia" w:ascii="仿宋" w:hAnsi="仿宋" w:eastAsia="仿宋" w:cs="仿宋"/>
          <w:color w:val="auto"/>
          <w:kern w:val="2"/>
          <w:sz w:val="32"/>
          <w:szCs w:val="32"/>
          <w:highlight w:val="none"/>
          <w:lang w:val="en-US" w:eastAsia="zh-CN" w:bidi="ar-SA"/>
        </w:rPr>
      </w:pPr>
    </w:p>
    <w:p>
      <w:pPr>
        <w:widowControl/>
        <w:shd w:val="clear" w:color="auto" w:fill="FFFFFF"/>
        <w:spacing w:line="420" w:lineRule="atLeast"/>
        <w:ind w:firstLine="1280" w:firstLineChars="400"/>
        <w:jc w:val="left"/>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ab/>
      </w:r>
      <w:r>
        <w:rPr>
          <w:rFonts w:hint="eastAsia" w:ascii="仿宋" w:hAnsi="仿宋" w:eastAsia="仿宋" w:cs="仿宋"/>
          <w:color w:val="auto"/>
          <w:kern w:val="2"/>
          <w:sz w:val="32"/>
          <w:szCs w:val="32"/>
          <w:highlight w:val="none"/>
          <w:lang w:val="en-US" w:eastAsia="zh-CN" w:bidi="ar-SA"/>
        </w:rPr>
        <w:t xml:space="preserve"> </w:t>
      </w:r>
      <w:r>
        <w:rPr>
          <w:rFonts w:hint="eastAsia" w:ascii="仿宋" w:hAnsi="仿宋" w:eastAsia="仿宋" w:cs="仿宋"/>
          <w:color w:val="auto"/>
          <w:kern w:val="0"/>
          <w:sz w:val="32"/>
          <w:szCs w:val="32"/>
          <w:highlight w:val="none"/>
        </w:rPr>
        <w:t>蚌埠市科学技术局</w:t>
      </w: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color w:val="auto"/>
          <w:kern w:val="0"/>
          <w:sz w:val="32"/>
          <w:szCs w:val="32"/>
          <w:highlight w:val="none"/>
        </w:rPr>
        <w:t>蚌埠市</w:t>
      </w:r>
      <w:r>
        <w:rPr>
          <w:rFonts w:hint="eastAsia" w:ascii="仿宋" w:hAnsi="仿宋" w:eastAsia="仿宋" w:cs="仿宋"/>
          <w:color w:val="auto"/>
          <w:kern w:val="0"/>
          <w:sz w:val="32"/>
          <w:szCs w:val="32"/>
          <w:highlight w:val="none"/>
          <w:lang w:val="en-US" w:eastAsia="zh-CN"/>
        </w:rPr>
        <w:t>发展和改革委员会</w:t>
      </w:r>
    </w:p>
    <w:p>
      <w:pPr>
        <w:widowControl/>
        <w:shd w:val="clear" w:color="auto" w:fill="FFFFFF"/>
        <w:spacing w:line="700" w:lineRule="atLeast"/>
        <w:rPr>
          <w:rFonts w:hint="eastAsia" w:ascii="黑体" w:hAnsi="黑体" w:eastAsia="黑体"/>
          <w:b/>
          <w:bCs/>
          <w:color w:val="auto"/>
          <w:sz w:val="48"/>
          <w:szCs w:val="48"/>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2022年6月 2日</w:t>
      </w:r>
    </w:p>
    <w:p>
      <w:pPr>
        <w:pStyle w:val="15"/>
        <w:spacing w:line="420" w:lineRule="exact"/>
        <w:ind w:firstLine="0" w:firstLineChars="0"/>
        <w:jc w:val="center"/>
        <w:rPr>
          <w:rFonts w:ascii="黑体" w:hAnsi="黑体" w:eastAsia="黑体"/>
          <w:b/>
          <w:bCs/>
          <w:color w:val="auto"/>
          <w:sz w:val="36"/>
          <w:szCs w:val="36"/>
          <w:highlight w:val="none"/>
        </w:rPr>
      </w:pPr>
    </w:p>
    <w:p>
      <w:pPr>
        <w:pStyle w:val="15"/>
        <w:spacing w:line="480" w:lineRule="auto"/>
        <w:ind w:firstLine="0" w:firstLineChars="0"/>
        <w:jc w:val="center"/>
        <w:rPr>
          <w:rFonts w:ascii="黑体" w:hAnsi="黑体" w:eastAsia="黑体"/>
          <w:b/>
          <w:bCs/>
          <w:color w:val="auto"/>
          <w:sz w:val="72"/>
          <w:szCs w:val="72"/>
          <w:highlight w:val="none"/>
        </w:rPr>
      </w:pPr>
    </w:p>
    <w:p>
      <w:pPr>
        <w:pStyle w:val="15"/>
        <w:spacing w:line="480" w:lineRule="auto"/>
        <w:ind w:firstLine="0" w:firstLineChars="0"/>
        <w:jc w:val="center"/>
        <w:rPr>
          <w:rFonts w:ascii="黑体" w:hAnsi="黑体" w:eastAsia="黑体"/>
          <w:b/>
          <w:bCs/>
          <w:color w:val="auto"/>
          <w:sz w:val="72"/>
          <w:szCs w:val="72"/>
          <w:highlight w:val="none"/>
        </w:rPr>
      </w:pPr>
    </w:p>
    <w:p>
      <w:pPr>
        <w:pStyle w:val="15"/>
        <w:spacing w:line="480" w:lineRule="auto"/>
        <w:ind w:firstLine="0" w:firstLineChars="0"/>
        <w:jc w:val="center"/>
        <w:rPr>
          <w:rFonts w:ascii="黑体" w:hAnsi="黑体" w:eastAsia="黑体"/>
          <w:b/>
          <w:bCs/>
          <w:color w:val="auto"/>
          <w:sz w:val="72"/>
          <w:szCs w:val="72"/>
          <w:highlight w:val="none"/>
        </w:rPr>
        <w:sectPr>
          <w:pgSz w:w="11906" w:h="16838"/>
          <w:pgMar w:top="1440" w:right="1587" w:bottom="1440" w:left="1587" w:header="851" w:footer="992" w:gutter="0"/>
          <w:pgNumType w:fmt="upperRoman" w:start="1"/>
          <w:cols w:space="720" w:num="1"/>
          <w:docGrid w:type="lines" w:linePitch="312" w:charSpace="0"/>
        </w:sectPr>
      </w:pPr>
    </w:p>
    <w:p>
      <w:pPr>
        <w:pStyle w:val="15"/>
        <w:spacing w:line="480" w:lineRule="auto"/>
        <w:ind w:firstLine="0" w:firstLineChars="0"/>
        <w:jc w:val="center"/>
        <w:rPr>
          <w:rFonts w:ascii="黑体" w:hAnsi="黑体" w:eastAsia="黑体"/>
          <w:b/>
          <w:bCs/>
          <w:color w:val="auto"/>
          <w:sz w:val="72"/>
          <w:szCs w:val="72"/>
          <w:highlight w:val="none"/>
        </w:rPr>
      </w:pPr>
    </w:p>
    <w:p>
      <w:pPr>
        <w:pStyle w:val="15"/>
        <w:spacing w:line="480" w:lineRule="auto"/>
        <w:ind w:firstLine="0" w:firstLineChars="0"/>
        <w:jc w:val="center"/>
        <w:rPr>
          <w:rFonts w:ascii="黑体" w:hAnsi="黑体" w:eastAsia="黑体"/>
          <w:b/>
          <w:bCs/>
          <w:color w:val="auto"/>
          <w:sz w:val="72"/>
          <w:szCs w:val="72"/>
          <w:highlight w:val="none"/>
        </w:rPr>
      </w:pPr>
    </w:p>
    <w:p>
      <w:pPr>
        <w:pStyle w:val="15"/>
        <w:spacing w:after="312" w:afterLines="100" w:line="480" w:lineRule="auto"/>
        <w:ind w:firstLine="0" w:firstLineChars="0"/>
        <w:jc w:val="center"/>
        <w:rPr>
          <w:rFonts w:ascii="黑体" w:hAnsi="黑体" w:eastAsia="黑体"/>
          <w:b/>
          <w:bCs/>
          <w:color w:val="auto"/>
          <w:sz w:val="52"/>
          <w:szCs w:val="52"/>
          <w:highlight w:val="none"/>
        </w:rPr>
      </w:pPr>
      <w:r>
        <w:rPr>
          <w:rFonts w:hint="eastAsia" w:ascii="黑体" w:hAnsi="黑体" w:eastAsia="黑体"/>
          <w:b/>
          <w:bCs/>
          <w:color w:val="auto"/>
          <w:sz w:val="52"/>
          <w:szCs w:val="52"/>
          <w:highlight w:val="none"/>
        </w:rPr>
        <w:t>蚌埠市“十四五”科技创新发展规划</w:t>
      </w:r>
    </w:p>
    <w:p>
      <w:pPr>
        <w:pStyle w:val="15"/>
        <w:spacing w:before="156" w:beforeLines="50" w:line="480" w:lineRule="auto"/>
        <w:ind w:firstLine="480"/>
        <w:rPr>
          <w:rFonts w:ascii="宋体" w:hAnsi="宋体" w:cs="宋体"/>
          <w:color w:val="auto"/>
          <w:sz w:val="24"/>
          <w:szCs w:val="24"/>
          <w:highlight w:val="none"/>
        </w:rPr>
      </w:pPr>
    </w:p>
    <w:p>
      <w:pPr>
        <w:pStyle w:val="15"/>
        <w:spacing w:before="156" w:beforeLines="50" w:line="480" w:lineRule="auto"/>
        <w:ind w:firstLine="480"/>
        <w:rPr>
          <w:rFonts w:ascii="宋体" w:hAnsi="宋体" w:cs="宋体"/>
          <w:color w:val="auto"/>
          <w:sz w:val="24"/>
          <w:szCs w:val="24"/>
          <w:highlight w:val="none"/>
        </w:rPr>
      </w:pPr>
    </w:p>
    <w:p>
      <w:pPr>
        <w:pStyle w:val="15"/>
        <w:spacing w:before="156" w:beforeLines="50" w:line="480" w:lineRule="auto"/>
        <w:ind w:firstLine="480"/>
        <w:rPr>
          <w:rFonts w:ascii="宋体" w:hAnsi="宋体" w:cs="宋体"/>
          <w:color w:val="auto"/>
          <w:sz w:val="24"/>
          <w:szCs w:val="24"/>
          <w:highlight w:val="none"/>
        </w:rPr>
      </w:pPr>
    </w:p>
    <w:p>
      <w:pPr>
        <w:pStyle w:val="15"/>
        <w:spacing w:before="156" w:beforeLines="50" w:line="480" w:lineRule="auto"/>
        <w:ind w:firstLine="480"/>
        <w:rPr>
          <w:rFonts w:ascii="宋体" w:hAnsi="宋体" w:cs="宋体"/>
          <w:color w:val="auto"/>
          <w:sz w:val="24"/>
          <w:szCs w:val="24"/>
          <w:highlight w:val="none"/>
        </w:rPr>
      </w:pPr>
    </w:p>
    <w:p>
      <w:pPr>
        <w:pStyle w:val="15"/>
        <w:spacing w:before="156" w:beforeLines="50" w:line="480" w:lineRule="auto"/>
        <w:ind w:firstLine="480"/>
        <w:rPr>
          <w:rFonts w:ascii="宋体" w:hAnsi="宋体" w:cs="宋体"/>
          <w:color w:val="auto"/>
          <w:sz w:val="24"/>
          <w:szCs w:val="24"/>
          <w:highlight w:val="none"/>
        </w:rPr>
      </w:pPr>
    </w:p>
    <w:p>
      <w:pPr>
        <w:pStyle w:val="15"/>
        <w:spacing w:before="156" w:beforeLines="50" w:line="480" w:lineRule="auto"/>
        <w:ind w:firstLine="480"/>
        <w:rPr>
          <w:rFonts w:ascii="宋体" w:hAnsi="宋体" w:cs="宋体"/>
          <w:color w:val="auto"/>
          <w:sz w:val="24"/>
          <w:szCs w:val="24"/>
          <w:highlight w:val="none"/>
        </w:rPr>
      </w:pPr>
    </w:p>
    <w:p>
      <w:pPr>
        <w:pStyle w:val="15"/>
        <w:spacing w:before="156" w:beforeLines="50" w:line="480" w:lineRule="auto"/>
        <w:ind w:firstLine="480"/>
        <w:rPr>
          <w:rFonts w:ascii="宋体" w:hAnsi="宋体" w:cs="宋体"/>
          <w:color w:val="auto"/>
          <w:sz w:val="24"/>
          <w:szCs w:val="24"/>
          <w:highlight w:val="none"/>
        </w:rPr>
      </w:pPr>
    </w:p>
    <w:p>
      <w:pPr>
        <w:pStyle w:val="15"/>
        <w:spacing w:before="156" w:beforeLines="50" w:line="480" w:lineRule="auto"/>
        <w:ind w:firstLine="480"/>
        <w:rPr>
          <w:rFonts w:ascii="宋体" w:hAnsi="宋体" w:cs="宋体"/>
          <w:color w:val="auto"/>
          <w:sz w:val="24"/>
          <w:szCs w:val="24"/>
          <w:highlight w:val="none"/>
        </w:rPr>
      </w:pPr>
    </w:p>
    <w:p>
      <w:pPr>
        <w:pStyle w:val="15"/>
        <w:spacing w:before="156" w:beforeLines="50" w:line="480" w:lineRule="auto"/>
        <w:ind w:firstLine="480"/>
        <w:rPr>
          <w:rFonts w:ascii="宋体" w:hAnsi="宋体" w:cs="宋体"/>
          <w:color w:val="auto"/>
          <w:sz w:val="24"/>
          <w:szCs w:val="24"/>
          <w:highlight w:val="none"/>
        </w:rPr>
      </w:pPr>
    </w:p>
    <w:p>
      <w:pPr>
        <w:pStyle w:val="15"/>
        <w:spacing w:before="156" w:beforeLines="50" w:line="480" w:lineRule="auto"/>
        <w:ind w:firstLine="480"/>
        <w:rPr>
          <w:rFonts w:ascii="宋体" w:hAnsi="宋体" w:cs="宋体"/>
          <w:color w:val="auto"/>
          <w:sz w:val="24"/>
          <w:szCs w:val="24"/>
          <w:highlight w:val="none"/>
        </w:rPr>
      </w:pPr>
    </w:p>
    <w:p>
      <w:pPr>
        <w:pStyle w:val="15"/>
        <w:spacing w:before="156" w:beforeLines="50" w:line="480" w:lineRule="auto"/>
        <w:ind w:firstLine="0" w:firstLineChars="0"/>
        <w:jc w:val="center"/>
        <w:rPr>
          <w:rFonts w:hint="eastAsia" w:ascii="黑体" w:hAnsi="黑体" w:eastAsia="黑体" w:cs="黑体"/>
          <w:color w:val="auto"/>
          <w:sz w:val="24"/>
          <w:szCs w:val="24"/>
          <w:highlight w:val="none"/>
        </w:rPr>
      </w:pPr>
      <w:r>
        <w:rPr>
          <w:rFonts w:hint="eastAsia" w:ascii="黑体" w:hAnsi="黑体" w:eastAsia="黑体" w:cs="黑体"/>
          <w:color w:val="auto"/>
          <w:sz w:val="36"/>
          <w:szCs w:val="36"/>
          <w:highlight w:val="none"/>
        </w:rPr>
        <w:t>2022</w:t>
      </w:r>
      <w:r>
        <w:rPr>
          <w:rFonts w:hint="eastAsia" w:ascii="黑体" w:hAnsi="黑体" w:eastAsia="黑体" w:cs="黑体"/>
          <w:color w:val="auto"/>
          <w:sz w:val="36"/>
          <w:szCs w:val="36"/>
          <w:highlight w:val="none"/>
          <w:lang w:val="en-US" w:eastAsia="zh-CN"/>
        </w:rPr>
        <w:t>年6月</w:t>
      </w:r>
    </w:p>
    <w:p>
      <w:pPr>
        <w:pStyle w:val="15"/>
        <w:spacing w:before="156" w:beforeLines="50" w:line="480" w:lineRule="auto"/>
        <w:ind w:firstLine="480"/>
        <w:rPr>
          <w:rFonts w:ascii="宋体" w:hAnsi="宋体" w:cs="宋体"/>
          <w:color w:val="auto"/>
          <w:sz w:val="24"/>
          <w:szCs w:val="24"/>
          <w:highlight w:val="none"/>
        </w:rPr>
      </w:pPr>
    </w:p>
    <w:p>
      <w:pPr>
        <w:pStyle w:val="15"/>
        <w:spacing w:before="156" w:beforeLines="50" w:line="480" w:lineRule="auto"/>
        <w:ind w:firstLine="480"/>
        <w:rPr>
          <w:rFonts w:ascii="宋体" w:hAnsi="宋体" w:cs="宋体"/>
          <w:color w:val="auto"/>
          <w:sz w:val="24"/>
          <w:szCs w:val="24"/>
          <w:highlight w:val="none"/>
        </w:rPr>
      </w:pPr>
    </w:p>
    <w:p>
      <w:pPr>
        <w:pStyle w:val="15"/>
        <w:spacing w:before="156" w:beforeLines="50" w:line="480" w:lineRule="auto"/>
        <w:ind w:firstLine="480"/>
        <w:rPr>
          <w:rFonts w:ascii="宋体" w:hAnsi="宋体" w:cs="宋体"/>
          <w:color w:val="auto"/>
          <w:sz w:val="24"/>
          <w:szCs w:val="24"/>
          <w:highlight w:val="none"/>
        </w:rPr>
      </w:pPr>
    </w:p>
    <w:sdt>
      <w:sdtPr>
        <w:rPr>
          <w:rFonts w:hint="eastAsia" w:ascii="黑体" w:hAnsi="黑体" w:eastAsia="黑体" w:cs="Times New Roman"/>
          <w:b/>
          <w:bCs/>
          <w:color w:val="auto"/>
          <w:sz w:val="44"/>
          <w:szCs w:val="44"/>
          <w:highlight w:val="none"/>
        </w:rPr>
        <w:id w:val="147453173"/>
        <w:docPartObj>
          <w:docPartGallery w:val="Table of Contents"/>
          <w:docPartUnique/>
        </w:docPartObj>
      </w:sdtPr>
      <w:sdtEndPr>
        <w:rPr>
          <w:rFonts w:hint="eastAsia" w:ascii="仿宋" w:hAnsi="仿宋" w:eastAsia="仿宋" w:cs="仿宋"/>
          <w:b w:val="0"/>
          <w:bCs w:val="0"/>
          <w:color w:val="auto"/>
          <w:sz w:val="28"/>
          <w:szCs w:val="28"/>
          <w:highlight w:val="none"/>
        </w:rPr>
      </w:sdtEndPr>
      <w:sdtContent>
        <w:p>
          <w:pPr>
            <w:spacing w:before="156" w:beforeLines="50" w:after="156" w:afterLines="50" w:line="500" w:lineRule="exact"/>
            <w:jc w:val="center"/>
            <w:rPr>
              <w:rFonts w:ascii="黑体" w:hAnsi="黑体" w:eastAsia="黑体"/>
              <w:b/>
              <w:bCs/>
              <w:color w:val="auto"/>
              <w:sz w:val="28"/>
              <w:szCs w:val="28"/>
              <w:highlight w:val="none"/>
            </w:rPr>
          </w:pPr>
          <w:r>
            <w:rPr>
              <w:rFonts w:hint="eastAsia" w:ascii="黑体" w:hAnsi="黑体" w:eastAsia="黑体"/>
              <w:b/>
              <w:bCs/>
              <w:color w:val="auto"/>
              <w:sz w:val="44"/>
              <w:szCs w:val="44"/>
              <w:highlight w:val="none"/>
            </w:rPr>
            <w:t>目  录</w:t>
          </w:r>
        </w:p>
        <w:p>
          <w:pPr>
            <w:pStyle w:val="8"/>
            <w:tabs>
              <w:tab w:val="left" w:pos="1050"/>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TOC \o "1-3" \h \u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"_Toc100851629"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第一章</w:t>
          </w:r>
          <w:r>
            <w:rPr>
              <w:rFonts w:hint="eastAsia" w:ascii="仿宋" w:hAnsi="仿宋" w:eastAsia="仿宋" w:cs="仿宋"/>
              <w:b w:val="0"/>
              <w:bCs w:val="0"/>
              <w:color w:val="auto"/>
              <w:sz w:val="28"/>
              <w:szCs w:val="28"/>
              <w:highlight w:val="none"/>
            </w:rPr>
            <w:tab/>
          </w:r>
          <w:r>
            <w:rPr>
              <w:rStyle w:val="14"/>
              <w:rFonts w:hint="eastAsia" w:ascii="仿宋" w:hAnsi="仿宋" w:eastAsia="仿宋" w:cs="仿宋"/>
              <w:b w:val="0"/>
              <w:bCs w:val="0"/>
              <w:color w:val="auto"/>
              <w:sz w:val="28"/>
              <w:szCs w:val="28"/>
              <w:highlight w:val="none"/>
            </w:rPr>
            <w:t>发展基础与面临形势</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_Toc100851629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"_Toc100851630"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第一节 发展基础</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_Toc100851630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"_Toc100851631"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第二节 面临形势</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_Toc100851631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5</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8"/>
            <w:tabs>
              <w:tab w:val="left" w:pos="1050"/>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"_Toc100851632"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第二章</w:t>
          </w:r>
          <w:r>
            <w:rPr>
              <w:rFonts w:hint="eastAsia" w:ascii="仿宋" w:hAnsi="仿宋" w:eastAsia="仿宋" w:cs="仿宋"/>
              <w:b w:val="0"/>
              <w:bCs w:val="0"/>
              <w:color w:val="auto"/>
              <w:sz w:val="28"/>
              <w:szCs w:val="28"/>
              <w:highlight w:val="none"/>
            </w:rPr>
            <w:tab/>
          </w:r>
          <w:r>
            <w:rPr>
              <w:rStyle w:val="14"/>
              <w:rFonts w:hint="eastAsia" w:ascii="仿宋" w:hAnsi="仿宋" w:eastAsia="仿宋" w:cs="仿宋"/>
              <w:b w:val="0"/>
              <w:bCs w:val="0"/>
              <w:color w:val="auto"/>
              <w:sz w:val="28"/>
              <w:szCs w:val="28"/>
              <w:highlight w:val="none"/>
            </w:rPr>
            <w:t>指导思想、基本原则和发展目标</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_Toc100851632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9</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"_Toc100851633"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第一节 指导思想</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_Toc100851633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9</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"_Toc100851634"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第二节 基本原则</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_Toc100851634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10</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"_Toc100851635"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第三节 发展目标</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_Toc100851635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11</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8"/>
            <w:tabs>
              <w:tab w:val="left" w:pos="1050"/>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"_Toc100851636"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第三章</w:t>
          </w:r>
          <w:r>
            <w:rPr>
              <w:rFonts w:hint="eastAsia" w:ascii="仿宋" w:hAnsi="仿宋" w:eastAsia="仿宋" w:cs="仿宋"/>
              <w:b w:val="0"/>
              <w:bCs w:val="0"/>
              <w:color w:val="auto"/>
              <w:sz w:val="28"/>
              <w:szCs w:val="28"/>
              <w:highlight w:val="none"/>
            </w:rPr>
            <w:tab/>
          </w:r>
          <w:r>
            <w:rPr>
              <w:rStyle w:val="14"/>
              <w:rFonts w:hint="eastAsia" w:ascii="仿宋" w:hAnsi="仿宋" w:eastAsia="仿宋" w:cs="仿宋"/>
              <w:b w:val="0"/>
              <w:bCs w:val="0"/>
              <w:color w:val="auto"/>
              <w:sz w:val="28"/>
              <w:szCs w:val="28"/>
              <w:highlight w:val="none"/>
            </w:rPr>
            <w:t>主要任务</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_Toc100851636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14</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"_Toc100851637"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第一节 建设科创攻坚力量体系，打造科技创新策源地</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_Toc100851637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14</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"_Toc100851638"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（一）打好核心技术攻坚战</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_Toc100851638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14</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"_Toc100851639"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（二）建强重大创新平台</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_Toc100851639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15</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"_Toc100851640"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（三）壮大创新型企业队伍</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_Toc100851640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17</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"_Toc100851641"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第二节 强化产业创新引领支撑，构筑新兴产业聚集地</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_Toc100851641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18</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"_Toc100851642"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（一）新材料产业</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_Toc100851642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18</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"_Toc100851643"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（二）新一代信息技术产业</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_Toc100851643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21</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"_Toc100851644"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（三）高端装备制造产业</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_Toc100851644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22</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"_Toc100851645"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（四）生命健康产业</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_Toc100851645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23</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"_Toc100851646"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（五）现代农业</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_Toc100851646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23</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"_Toc100851647"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第三节 推动科技成果转移转化，点燃创新发展新引擎</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_Toc100851647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24</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"_Toc100851646"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w:t>
          </w:r>
          <w:r>
            <w:rPr>
              <w:rStyle w:val="14"/>
              <w:rFonts w:hint="eastAsia" w:ascii="仿宋" w:hAnsi="仿宋" w:eastAsia="仿宋" w:cs="仿宋"/>
              <w:b w:val="0"/>
              <w:bCs w:val="0"/>
              <w:color w:val="auto"/>
              <w:sz w:val="28"/>
              <w:szCs w:val="28"/>
              <w:highlight w:val="none"/>
              <w:lang w:val="en-US" w:eastAsia="zh-CN"/>
            </w:rPr>
            <w:t>一</w:t>
          </w:r>
          <w:r>
            <w:rPr>
              <w:rStyle w:val="14"/>
              <w:rFonts w:hint="eastAsia" w:ascii="仿宋" w:hAnsi="仿宋" w:eastAsia="仿宋" w:cs="仿宋"/>
              <w:b w:val="0"/>
              <w:bCs w:val="0"/>
              <w:color w:val="auto"/>
              <w:sz w:val="28"/>
              <w:szCs w:val="28"/>
              <w:highlight w:val="none"/>
            </w:rPr>
            <w:t>）</w:t>
          </w:r>
          <w:r>
            <w:rPr>
              <w:rStyle w:val="14"/>
              <w:rFonts w:hint="eastAsia" w:ascii="仿宋" w:hAnsi="仿宋" w:eastAsia="仿宋" w:cs="仿宋"/>
              <w:b w:val="0"/>
              <w:bCs w:val="0"/>
              <w:color w:val="auto"/>
              <w:kern w:val="2"/>
              <w:sz w:val="28"/>
              <w:szCs w:val="28"/>
              <w:highlight w:val="none"/>
              <w:lang w:val="en-US" w:eastAsia="zh-CN" w:bidi="ar-SA"/>
            </w:rPr>
            <w:t>完善科技成果供给体系</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lang w:val="en-US" w:eastAsia="zh-CN"/>
            </w:rPr>
            <w:t>5</w:t>
          </w:r>
          <w:bookmarkStart w:id="533" w:name="_GoBack"/>
          <w:bookmarkEnd w:id="533"/>
        </w:p>
        <w:p>
          <w:pPr>
            <w:pStyle w:val="5"/>
            <w:tabs>
              <w:tab w:val="right" w:leader="dot" w:pos="8296"/>
            </w:tabs>
            <w:spacing w:line="276"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"_Toc100851646"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w:t>
          </w:r>
          <w:r>
            <w:rPr>
              <w:rStyle w:val="14"/>
              <w:rFonts w:hint="eastAsia" w:ascii="仿宋" w:hAnsi="仿宋" w:eastAsia="仿宋" w:cs="仿宋"/>
              <w:b w:val="0"/>
              <w:bCs w:val="0"/>
              <w:color w:val="auto"/>
              <w:sz w:val="28"/>
              <w:szCs w:val="28"/>
              <w:highlight w:val="none"/>
              <w:lang w:val="en-US" w:eastAsia="zh-CN"/>
            </w:rPr>
            <w:t>二</w:t>
          </w:r>
          <w:r>
            <w:rPr>
              <w:rStyle w:val="14"/>
              <w:rFonts w:hint="eastAsia" w:ascii="仿宋" w:hAnsi="仿宋" w:eastAsia="仿宋" w:cs="仿宋"/>
              <w:b w:val="0"/>
              <w:bCs w:val="0"/>
              <w:color w:val="auto"/>
              <w:sz w:val="28"/>
              <w:szCs w:val="28"/>
              <w:highlight w:val="none"/>
            </w:rPr>
            <w:t>）</w:t>
          </w:r>
          <w:r>
            <w:rPr>
              <w:rStyle w:val="14"/>
              <w:rFonts w:hint="eastAsia" w:ascii="仿宋" w:hAnsi="仿宋" w:eastAsia="仿宋" w:cs="仿宋"/>
              <w:b w:val="0"/>
              <w:bCs w:val="0"/>
              <w:color w:val="auto"/>
              <w:kern w:val="2"/>
              <w:sz w:val="28"/>
              <w:szCs w:val="28"/>
              <w:highlight w:val="none"/>
              <w:lang w:val="en-US" w:eastAsia="zh-CN" w:bidi="ar-SA"/>
            </w:rPr>
            <w:t>构建成果转化服务体系</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lang w:val="en-US" w:eastAsia="zh-CN"/>
            </w:rPr>
            <w:t>5</w:t>
          </w:r>
        </w:p>
        <w:p>
          <w:pPr>
            <w:pStyle w:val="5"/>
            <w:tabs>
              <w:tab w:val="right" w:leader="dot" w:pos="8296"/>
            </w:tabs>
            <w:spacing w:line="276"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"_Toc100851646"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w:t>
          </w:r>
          <w:r>
            <w:rPr>
              <w:rStyle w:val="14"/>
              <w:rFonts w:hint="eastAsia" w:ascii="仿宋" w:hAnsi="仿宋" w:eastAsia="仿宋" w:cs="仿宋"/>
              <w:b w:val="0"/>
              <w:bCs w:val="0"/>
              <w:color w:val="auto"/>
              <w:sz w:val="28"/>
              <w:szCs w:val="28"/>
              <w:highlight w:val="none"/>
              <w:lang w:val="en-US" w:eastAsia="zh-CN"/>
            </w:rPr>
            <w:t>三</w:t>
          </w:r>
          <w:r>
            <w:rPr>
              <w:rStyle w:val="14"/>
              <w:rFonts w:hint="eastAsia" w:ascii="仿宋" w:hAnsi="仿宋" w:eastAsia="仿宋" w:cs="仿宋"/>
              <w:b w:val="0"/>
              <w:bCs w:val="0"/>
              <w:color w:val="auto"/>
              <w:sz w:val="28"/>
              <w:szCs w:val="28"/>
              <w:highlight w:val="none"/>
            </w:rPr>
            <w:t>）</w:t>
          </w:r>
          <w:r>
            <w:rPr>
              <w:rStyle w:val="14"/>
              <w:rFonts w:hint="eastAsia" w:ascii="仿宋" w:hAnsi="仿宋" w:eastAsia="仿宋" w:cs="仿宋"/>
              <w:b w:val="0"/>
              <w:bCs w:val="0"/>
              <w:color w:val="auto"/>
              <w:kern w:val="2"/>
              <w:sz w:val="28"/>
              <w:szCs w:val="28"/>
              <w:highlight w:val="none"/>
              <w:lang w:val="en-US" w:eastAsia="zh-CN" w:bidi="ar-SA"/>
            </w:rPr>
            <w:t>建立促进成果转化激励体系</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lang w:val="en-US" w:eastAsia="zh-CN"/>
            </w:rPr>
            <w:t>7</w:t>
          </w:r>
        </w:p>
        <w:p>
          <w:pPr>
            <w:pStyle w:val="9"/>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"_Toc100851648"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第四节 培优科技创新载体，拓展创新发展新空间</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_Toc100851648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28</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"_Toc100851649"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（一）突出创新园区地位</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_Toc100851649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28</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"_Toc100851650"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（二）推进创新型县建设</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_Toc100851650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30</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"_Toc100851651"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第五节  聚力人才强市战略，构筑创新人才新高地</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_Toc100851651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32</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"_Toc100851652"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（一）优化创新人才引育体系</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_Toc100851652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32</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"_Toc100851653"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（二）完善创新人才激励政策</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_Toc100851653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33</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"_Toc100851654"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（三）提高创新人才服务水平</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_Toc100851654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35</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"_Toc100851655"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第六节  深化科技金融结合，赋能科技创新资本力量</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_Toc100851655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36</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"_Toc100851656"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（一）加快科技信贷市场发展</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_Toc100851656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36</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"_Toc100851657"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（二）构建多层次科技金融服务体系</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_Toc100851657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37</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"_Toc100851658"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（三）完善科技创新融资服务平台</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_Toc100851658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38</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"_Toc100851659"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第七节  深化区域创新合作，开拓开放创新新天地</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_Toc100851659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39</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"_Toc100851660"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（一） 加快融入长三角科技创新共同体</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_Toc100851660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39</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"_Toc100851661"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（二） 提升国际科技合作交流水平</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_Toc100851661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40</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"_Toc100851662"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（三） 健全机制汇聚发展新动能</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_Toc100851662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41</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"_Toc100851663"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第八节  优化创新生态环境，激发创新主体新活力</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_Toc100851663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42</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"_Toc100851664"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（一）营造良好创新创业环境</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_Toc100851664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43</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"_Toc100851665"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（二）实施知识产权和技术标准战略</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_Toc100851665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44</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5"/>
            <w:tabs>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"_Toc100851666"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（三）统筹推进科技惠民工程</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_Toc100851666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45</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8"/>
            <w:tabs>
              <w:tab w:val="left" w:pos="1050"/>
              <w:tab w:val="right" w:leader="dot" w:pos="8296"/>
            </w:tabs>
            <w:spacing w:line="276" w:lineRule="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"_Toc100851667"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第四章</w:t>
          </w:r>
          <w:r>
            <w:rPr>
              <w:rFonts w:hint="eastAsia" w:ascii="仿宋" w:hAnsi="仿宋" w:eastAsia="仿宋" w:cs="仿宋"/>
              <w:b w:val="0"/>
              <w:bCs w:val="0"/>
              <w:color w:val="auto"/>
              <w:sz w:val="28"/>
              <w:szCs w:val="28"/>
              <w:highlight w:val="none"/>
            </w:rPr>
            <w:tab/>
          </w:r>
          <w:r>
            <w:rPr>
              <w:rStyle w:val="14"/>
              <w:rFonts w:hint="eastAsia" w:ascii="仿宋" w:hAnsi="仿宋" w:eastAsia="仿宋" w:cs="仿宋"/>
              <w:b w:val="0"/>
              <w:bCs w:val="0"/>
              <w:color w:val="auto"/>
              <w:sz w:val="28"/>
              <w:szCs w:val="28"/>
              <w:highlight w:val="none"/>
            </w:rPr>
            <w:t>保障措施</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_Toc100851667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47</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keepNext w:val="0"/>
            <w:keepLines w:val="0"/>
            <w:pageBreakBefore w:val="0"/>
            <w:widowControl w:val="0"/>
            <w:kinsoku/>
            <w:wordWrap/>
            <w:overflowPunct/>
            <w:topLinePunct w:val="0"/>
            <w:autoSpaceDE/>
            <w:autoSpaceDN/>
            <w:bidi w:val="0"/>
            <w:adjustRightInd w:val="0"/>
            <w:snapToGrid w:val="0"/>
            <w:spacing w:line="336" w:lineRule="auto"/>
            <w:ind w:firstLine="641"/>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"_Toc100851668"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第一节 加强组织领导</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_Toc100851668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47</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keepNext w:val="0"/>
            <w:keepLines w:val="0"/>
            <w:pageBreakBefore w:val="0"/>
            <w:widowControl w:val="0"/>
            <w:kinsoku/>
            <w:wordWrap/>
            <w:overflowPunct/>
            <w:topLinePunct w:val="0"/>
            <w:autoSpaceDE/>
            <w:autoSpaceDN/>
            <w:bidi w:val="0"/>
            <w:adjustRightInd w:val="0"/>
            <w:snapToGrid w:val="0"/>
            <w:spacing w:line="336" w:lineRule="auto"/>
            <w:ind w:firstLine="641"/>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"_Toc100851669"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第二节 加大政策支持</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_Toc100851669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47</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keepNext w:val="0"/>
            <w:keepLines w:val="0"/>
            <w:pageBreakBefore w:val="0"/>
            <w:widowControl w:val="0"/>
            <w:kinsoku/>
            <w:wordWrap/>
            <w:overflowPunct/>
            <w:topLinePunct w:val="0"/>
            <w:autoSpaceDE/>
            <w:autoSpaceDN/>
            <w:bidi w:val="0"/>
            <w:adjustRightInd w:val="0"/>
            <w:snapToGrid w:val="0"/>
            <w:spacing w:line="336" w:lineRule="auto"/>
            <w:ind w:firstLine="641"/>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"_Toc100851670"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第三节 加强督查考核</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_Toc100851670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48</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keepNext w:val="0"/>
            <w:keepLines w:val="0"/>
            <w:pageBreakBefore w:val="0"/>
            <w:widowControl w:val="0"/>
            <w:kinsoku/>
            <w:wordWrap/>
            <w:overflowPunct/>
            <w:topLinePunct w:val="0"/>
            <w:autoSpaceDE/>
            <w:autoSpaceDN/>
            <w:bidi w:val="0"/>
            <w:adjustRightInd w:val="0"/>
            <w:snapToGrid w:val="0"/>
            <w:spacing w:line="336" w:lineRule="auto"/>
            <w:ind w:firstLine="641"/>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HYPERLINK \l "_Toc100851671" </w:instrText>
          </w:r>
          <w:r>
            <w:rPr>
              <w:rFonts w:hint="eastAsia" w:ascii="仿宋" w:hAnsi="仿宋" w:eastAsia="仿宋" w:cs="仿宋"/>
              <w:b w:val="0"/>
              <w:bCs w:val="0"/>
              <w:color w:val="auto"/>
              <w:sz w:val="28"/>
              <w:szCs w:val="28"/>
              <w:highlight w:val="none"/>
            </w:rPr>
            <w:fldChar w:fldCharType="separate"/>
          </w:r>
          <w:r>
            <w:rPr>
              <w:rStyle w:val="14"/>
              <w:rFonts w:hint="eastAsia" w:ascii="仿宋" w:hAnsi="仿宋" w:eastAsia="仿宋" w:cs="仿宋"/>
              <w:b w:val="0"/>
              <w:bCs w:val="0"/>
              <w:color w:val="auto"/>
              <w:sz w:val="28"/>
              <w:szCs w:val="28"/>
              <w:highlight w:val="none"/>
            </w:rPr>
            <w:t>第四节 营造良好氛围</w:t>
          </w:r>
          <w:r>
            <w:rPr>
              <w:rFonts w:hint="eastAsia" w:ascii="仿宋" w:hAnsi="仿宋" w:eastAsia="仿宋" w:cs="仿宋"/>
              <w:b w:val="0"/>
              <w:bCs w:val="0"/>
              <w:color w:val="auto"/>
              <w:sz w:val="28"/>
              <w:szCs w:val="28"/>
              <w:highlight w:val="none"/>
            </w:rPr>
            <w:tab/>
          </w:r>
          <w:r>
            <w:rPr>
              <w:rFonts w:hint="eastAsia" w:ascii="仿宋" w:hAnsi="仿宋" w:eastAsia="仿宋" w:cs="仿宋"/>
              <w:b w:val="0"/>
              <w:bCs w:val="0"/>
              <w:color w:val="auto"/>
              <w:sz w:val="28"/>
              <w:szCs w:val="28"/>
              <w:highlight w:val="none"/>
            </w:rPr>
            <w:fldChar w:fldCharType="begin"/>
          </w:r>
          <w:r>
            <w:rPr>
              <w:rFonts w:hint="eastAsia" w:ascii="仿宋" w:hAnsi="仿宋" w:eastAsia="仿宋" w:cs="仿宋"/>
              <w:b w:val="0"/>
              <w:bCs w:val="0"/>
              <w:color w:val="auto"/>
              <w:sz w:val="28"/>
              <w:szCs w:val="28"/>
              <w:highlight w:val="none"/>
            </w:rPr>
            <w:instrText xml:space="preserve"> PAGEREF _Toc100851671 \h </w:instrText>
          </w:r>
          <w:r>
            <w:rPr>
              <w:rFonts w:hint="eastAsia" w:ascii="仿宋" w:hAnsi="仿宋" w:eastAsia="仿宋" w:cs="仿宋"/>
              <w:b w:val="0"/>
              <w:bCs w:val="0"/>
              <w:color w:val="auto"/>
              <w:sz w:val="28"/>
              <w:szCs w:val="28"/>
              <w:highlight w:val="none"/>
            </w:rPr>
            <w:fldChar w:fldCharType="separate"/>
          </w:r>
          <w:r>
            <w:rPr>
              <w:rFonts w:hint="eastAsia" w:ascii="仿宋" w:hAnsi="仿宋" w:eastAsia="仿宋" w:cs="仿宋"/>
              <w:b w:val="0"/>
              <w:bCs w:val="0"/>
              <w:color w:val="auto"/>
              <w:sz w:val="28"/>
              <w:szCs w:val="28"/>
              <w:highlight w:val="none"/>
            </w:rPr>
            <w:t>49</w:t>
          </w:r>
          <w:r>
            <w:rPr>
              <w:rFonts w:hint="eastAsia" w:ascii="仿宋" w:hAnsi="仿宋" w:eastAsia="仿宋" w:cs="仿宋"/>
              <w:b w:val="0"/>
              <w:bCs w:val="0"/>
              <w:color w:val="auto"/>
              <w:sz w:val="28"/>
              <w:szCs w:val="28"/>
              <w:highlight w:val="none"/>
            </w:rPr>
            <w:fldChar w:fldCharType="end"/>
          </w:r>
          <w:r>
            <w:rPr>
              <w:rFonts w:hint="eastAsia" w:ascii="仿宋" w:hAnsi="仿宋" w:eastAsia="仿宋" w:cs="仿宋"/>
              <w:b w:val="0"/>
              <w:bCs w:val="0"/>
              <w:color w:val="auto"/>
              <w:sz w:val="28"/>
              <w:szCs w:val="28"/>
              <w:highlight w:val="none"/>
            </w:rPr>
            <w:fldChar w:fldCharType="end"/>
          </w:r>
        </w:p>
        <w:p>
          <w:pPr>
            <w:pStyle w:val="9"/>
            <w:keepNext w:val="0"/>
            <w:keepLines w:val="0"/>
            <w:pageBreakBefore w:val="0"/>
            <w:widowControl w:val="0"/>
            <w:tabs>
              <w:tab w:val="right" w:leader="dot" w:pos="8306"/>
              <w:tab w:val="clear" w:pos="8296"/>
            </w:tabs>
            <w:kinsoku/>
            <w:wordWrap/>
            <w:overflowPunct/>
            <w:topLinePunct w:val="0"/>
            <w:autoSpaceDE/>
            <w:autoSpaceDN/>
            <w:bidi w:val="0"/>
            <w:adjustRightInd w:val="0"/>
            <w:snapToGrid w:val="0"/>
            <w:spacing w:line="14" w:lineRule="exact"/>
            <w:ind w:left="0" w:leftChars="0" w:firstLine="0" w:firstLineChars="0"/>
            <w:textAlignment w:val="auto"/>
            <w:rPr>
              <w:rFonts w:hint="eastAsia" w:ascii="仿宋" w:hAnsi="仿宋" w:eastAsia="仿宋" w:cs="仿宋"/>
              <w:b/>
              <w:bCs/>
              <w:color w:val="auto"/>
              <w:sz w:val="28"/>
              <w:szCs w:val="28"/>
              <w:highlight w:val="none"/>
            </w:rPr>
            <w:sectPr>
              <w:footerReference r:id="rId3" w:type="default"/>
              <w:pgSz w:w="11906" w:h="16838"/>
              <w:pgMar w:top="1440" w:right="1587" w:bottom="1440" w:left="1587" w:header="851" w:footer="992" w:gutter="0"/>
              <w:pgNumType w:fmt="upperRoman" w:start="1"/>
              <w:cols w:space="720" w:num="1"/>
              <w:docGrid w:type="lines" w:linePitch="312" w:charSpace="0"/>
            </w:sectPr>
          </w:pPr>
          <w:r>
            <w:rPr>
              <w:rFonts w:hint="eastAsia" w:ascii="仿宋" w:hAnsi="仿宋" w:eastAsia="仿宋" w:cs="仿宋"/>
              <w:b w:val="0"/>
              <w:bCs w:val="0"/>
              <w:color w:val="auto"/>
              <w:sz w:val="28"/>
              <w:szCs w:val="28"/>
              <w:highlight w:val="none"/>
            </w:rPr>
            <w:fldChar w:fldCharType="end"/>
          </w:r>
        </w:p>
      </w:sdtContent>
    </w:sdt>
    <w:p>
      <w:pPr>
        <w:pStyle w:val="15"/>
        <w:spacing w:before="156" w:beforeLines="50" w:after="156" w:afterLines="50"/>
        <w:ind w:left="0" w:leftChars="0" w:firstLine="0" w:firstLineChars="0"/>
        <w:jc w:val="center"/>
        <w:rPr>
          <w:rFonts w:hint="eastAsia" w:ascii="黑体" w:hAnsi="黑体" w:eastAsia="黑体" w:cs="黑体"/>
          <w:bCs/>
          <w:color w:val="auto"/>
          <w:sz w:val="44"/>
          <w:szCs w:val="44"/>
          <w:highlight w:val="none"/>
          <w:lang w:val="en-US" w:eastAsia="zh-CN"/>
        </w:rPr>
      </w:pPr>
      <w:r>
        <w:rPr>
          <w:rFonts w:hint="eastAsia" w:ascii="黑体" w:hAnsi="黑体" w:eastAsia="黑体" w:cs="黑体"/>
          <w:bCs/>
          <w:color w:val="auto"/>
          <w:sz w:val="44"/>
          <w:szCs w:val="44"/>
          <w:highlight w:val="none"/>
          <w:lang w:val="en-US" w:eastAsia="zh-CN"/>
        </w:rPr>
        <w:t>序 言</w:t>
      </w:r>
    </w:p>
    <w:p>
      <w:pPr>
        <w:pStyle w:val="15"/>
        <w:spacing w:before="156" w:beforeLines="50" w:after="156" w:afterLines="50"/>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四五”（2021-2025年）时期是开启全面建设社会主义现代化国家新征程、向第二个百年奋斗目标进军的第一个五年，也是蚌埠市更加全面深入实施创新驱动发展战略、加快构建现代化产业新体系、推动经济高质量发展、提升科技创新竞争力的关键时期。为加快淮河生态经济带和皖北地区中心城市建设，建设国家创新型城市，全面发挥科技创新对全市经济社会发展的引领与驱动作用，根据《中共安徽省委关于制定国民经济和社会发展第十四个五年规划和二〇三五年远景目标的建议》《蚌埠市国民经济和社会发展第十四个五年规划和二〇三五年远景目标纲要》《中共蚌埠市委关于打造“三地一区”两中心实现“五个更加”的指导意见》</w:t>
      </w:r>
      <w:bookmarkStart w:id="0" w:name="_Hlk98115965"/>
      <w:r>
        <w:rPr>
          <w:rFonts w:hint="eastAsia" w:ascii="仿宋" w:hAnsi="仿宋" w:eastAsia="仿宋" w:cs="仿宋"/>
          <w:color w:val="auto"/>
          <w:sz w:val="32"/>
          <w:szCs w:val="32"/>
          <w:highlight w:val="none"/>
        </w:rPr>
        <w:t>《促进皖北承接产业转移集聚区建设的若干政策措施》</w:t>
      </w:r>
      <w:bookmarkEnd w:id="0"/>
      <w:r>
        <w:rPr>
          <w:rFonts w:hint="eastAsia" w:ascii="仿宋" w:hAnsi="仿宋" w:eastAsia="仿宋" w:cs="仿宋"/>
          <w:color w:val="auto"/>
          <w:sz w:val="32"/>
          <w:szCs w:val="32"/>
          <w:highlight w:val="none"/>
        </w:rPr>
        <w:t>等文件精神，制定本规划。</w:t>
      </w:r>
      <w:bookmarkStart w:id="1" w:name="_Toc29107"/>
      <w:bookmarkStart w:id="2" w:name="_Toc26856"/>
      <w:bookmarkStart w:id="3" w:name="_Toc10314"/>
      <w:bookmarkStart w:id="4" w:name="_Toc20213"/>
      <w:bookmarkStart w:id="5" w:name="_Toc10024"/>
      <w:bookmarkStart w:id="6" w:name="_Toc29512"/>
      <w:bookmarkStart w:id="7" w:name="_Toc73005636"/>
      <w:bookmarkStart w:id="8" w:name="_Toc14394"/>
      <w:bookmarkStart w:id="9" w:name="_Toc16452"/>
      <w:bookmarkStart w:id="10" w:name="_Toc9341"/>
      <w:bookmarkStart w:id="11" w:name="_Toc21494"/>
      <w:bookmarkStart w:id="12" w:name="_Toc686"/>
    </w:p>
    <w:p>
      <w:pPr>
        <w:pStyle w:val="4"/>
        <w:rPr>
          <w:color w:val="auto"/>
          <w:highlight w:val="none"/>
        </w:rPr>
      </w:pPr>
      <w:r>
        <w:rPr>
          <w:color w:val="auto"/>
          <w:highlight w:val="none"/>
        </w:rPr>
        <w:br w:type="page"/>
      </w:r>
    </w:p>
    <w:p>
      <w:pPr>
        <w:pStyle w:val="15"/>
        <w:numPr>
          <w:ilvl w:val="0"/>
          <w:numId w:val="0"/>
        </w:numPr>
        <w:ind w:leftChars="0"/>
        <w:jc w:val="center"/>
        <w:outlineLvl w:val="0"/>
        <w:rPr>
          <w:rFonts w:hint="eastAsia" w:ascii="黑体" w:hAnsi="黑体" w:eastAsia="黑体" w:cs="黑体"/>
          <w:bCs/>
          <w:color w:val="auto"/>
          <w:sz w:val="36"/>
          <w:szCs w:val="36"/>
          <w:highlight w:val="none"/>
        </w:rPr>
      </w:pPr>
      <w:bookmarkStart w:id="13" w:name="_Toc100851629"/>
      <w:r>
        <w:rPr>
          <w:rFonts w:hint="eastAsia" w:ascii="黑体" w:hAnsi="黑体" w:eastAsia="黑体" w:cs="黑体"/>
          <w:bCs/>
          <w:color w:val="auto"/>
          <w:sz w:val="36"/>
          <w:szCs w:val="36"/>
          <w:highlight w:val="none"/>
          <w:lang w:val="en-US" w:eastAsia="zh-CN"/>
        </w:rPr>
        <w:t xml:space="preserve">第一章 </w:t>
      </w:r>
      <w:r>
        <w:rPr>
          <w:rFonts w:hint="eastAsia" w:ascii="黑体" w:hAnsi="黑体" w:eastAsia="黑体" w:cs="黑体"/>
          <w:bCs/>
          <w:color w:val="auto"/>
          <w:sz w:val="36"/>
          <w:szCs w:val="36"/>
          <w:highlight w:val="none"/>
        </w:rPr>
        <w:t>发展基础与面临形势</w:t>
      </w:r>
      <w:bookmarkEnd w:id="1"/>
      <w:bookmarkEnd w:id="2"/>
      <w:bookmarkEnd w:id="3"/>
      <w:bookmarkEnd w:id="4"/>
      <w:bookmarkEnd w:id="5"/>
      <w:bookmarkEnd w:id="6"/>
      <w:bookmarkEnd w:id="7"/>
      <w:bookmarkEnd w:id="8"/>
      <w:bookmarkEnd w:id="9"/>
      <w:bookmarkEnd w:id="10"/>
      <w:bookmarkEnd w:id="11"/>
      <w:bookmarkEnd w:id="12"/>
      <w:bookmarkEnd w:id="13"/>
    </w:p>
    <w:p>
      <w:pPr>
        <w:numPr>
          <w:ilvl w:val="0"/>
          <w:numId w:val="0"/>
        </w:numPr>
        <w:jc w:val="center"/>
        <w:outlineLvl w:val="1"/>
        <w:rPr>
          <w:rFonts w:ascii="方正楷体简体" w:hAnsi="方正楷体简体" w:eastAsia="方正楷体简体" w:cs="方正楷体简体"/>
          <w:bCs/>
          <w:color w:val="auto"/>
          <w:sz w:val="32"/>
          <w:szCs w:val="32"/>
          <w:highlight w:val="none"/>
        </w:rPr>
      </w:pPr>
      <w:bookmarkStart w:id="14" w:name="_Toc9941"/>
      <w:bookmarkStart w:id="15" w:name="_Toc11972"/>
      <w:bookmarkStart w:id="16" w:name="_Toc73005637"/>
      <w:bookmarkStart w:id="17" w:name="_Toc6387"/>
      <w:bookmarkStart w:id="18" w:name="_Toc100851630"/>
      <w:bookmarkStart w:id="19" w:name="_Toc19632"/>
      <w:bookmarkStart w:id="20" w:name="_Toc21332"/>
      <w:bookmarkStart w:id="21" w:name="_Toc30614"/>
      <w:bookmarkStart w:id="22" w:name="_Toc29617"/>
      <w:bookmarkStart w:id="23" w:name="_Toc21439"/>
      <w:bookmarkStart w:id="24" w:name="_Toc5059"/>
      <w:bookmarkStart w:id="25" w:name="_Toc8068"/>
      <w:bookmarkStart w:id="26" w:name="_Toc15393"/>
      <w:r>
        <w:rPr>
          <w:rFonts w:hint="eastAsia" w:ascii="楷体" w:hAnsi="楷体" w:eastAsia="楷体" w:cs="楷体"/>
          <w:bCs/>
          <w:color w:val="auto"/>
          <w:sz w:val="32"/>
          <w:szCs w:val="32"/>
          <w:highlight w:val="none"/>
          <w:lang w:val="en-US" w:eastAsia="zh-CN"/>
        </w:rPr>
        <w:t xml:space="preserve">第一节 </w:t>
      </w:r>
      <w:r>
        <w:rPr>
          <w:rFonts w:hint="eastAsia" w:ascii="楷体" w:hAnsi="楷体" w:eastAsia="楷体" w:cs="楷体"/>
          <w:bCs/>
          <w:color w:val="auto"/>
          <w:sz w:val="32"/>
          <w:szCs w:val="32"/>
          <w:highlight w:val="none"/>
        </w:rPr>
        <w:t>发展基础</w:t>
      </w:r>
      <w:bookmarkEnd w:id="14"/>
      <w:bookmarkEnd w:id="15"/>
      <w:bookmarkEnd w:id="16"/>
      <w:bookmarkEnd w:id="17"/>
      <w:bookmarkEnd w:id="18"/>
      <w:bookmarkEnd w:id="19"/>
      <w:bookmarkEnd w:id="20"/>
      <w:bookmarkEnd w:id="21"/>
      <w:bookmarkEnd w:id="22"/>
      <w:bookmarkEnd w:id="23"/>
      <w:bookmarkEnd w:id="24"/>
      <w:bookmarkEnd w:id="25"/>
      <w:bookmarkEnd w:id="26"/>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“十三五”时期，在市委、市政府的坚强领导下，坚持应用研究倒逼基础研究，基础研究引领应用研究，着力实施创新驱动发展战略，抢抓长三角区域一体化发展、国家自主创新示范区建设等重要战略机遇，</w:t>
      </w:r>
      <w:bookmarkStart w:id="27" w:name="_Hlk98116010"/>
      <w:r>
        <w:rPr>
          <w:rFonts w:hint="eastAsia" w:ascii="仿宋" w:hAnsi="仿宋" w:eastAsia="仿宋" w:cs="仿宋"/>
          <w:color w:val="auto"/>
          <w:sz w:val="32"/>
          <w:szCs w:val="32"/>
          <w:highlight w:val="none"/>
        </w:rPr>
        <w:t>放大皖北承接产业转移集聚区示范效应，</w:t>
      </w:r>
      <w:bookmarkEnd w:id="27"/>
      <w:r>
        <w:rPr>
          <w:rFonts w:hint="eastAsia" w:ascii="仿宋" w:hAnsi="仿宋" w:eastAsia="仿宋" w:cs="仿宋"/>
          <w:color w:val="auto"/>
          <w:sz w:val="32"/>
          <w:szCs w:val="32"/>
          <w:highlight w:val="none"/>
        </w:rPr>
        <w:t>围绕“借力江淮、融入合宁、创新驱动、产业引领”要求，紧扣创新发展、转型发展、科学发展主线，推动以科技创新为核心的全面创新，突出重点、把握关键、夯实基础、扎实推进、狠抓落实，全面实施创新能力提升、产业转型升级、创新载体优化、创新人才集聚、科技金融结合、科技惠民推进和体制机制创新等七大工程，科技综合实力显著增强，皖北科技中心城市地位进一步凸显，主要科技指标居全省领先位次，顺利完成了“十三五”科技创新发展规划的主要目标任务，为打造“三地一区”两中心、实现“五个更加”、建设国家创新型城市奠定了坚实基础。</w:t>
      </w:r>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创新生态持续优化。</w:t>
      </w:r>
      <w:r>
        <w:rPr>
          <w:rFonts w:hint="eastAsia" w:ascii="仿宋" w:hAnsi="仿宋" w:eastAsia="仿宋" w:cs="仿宋"/>
          <w:color w:val="auto"/>
          <w:sz w:val="32"/>
          <w:szCs w:val="32"/>
          <w:highlight w:val="none"/>
        </w:rPr>
        <w:t>围绕推进科技创新体系建设，相继出台《蚌埠市贯彻落实〈国家创新驱动发展战略纲要〉实施方案》《蚌埠市建设国家自主创新示范区实施方案》《关于实施创新驱动发展战略加快“两个中心”建设的若干政策意见》《关于进一步支持驻蚌单位科技创新和成果转化培育壮大经济发展新动能的意见》《蚌埠市系统推进全面创新改革试验实施方案》《关于加快实验室和技术创新中心的工作方案》《蚌埠市科技创新券管理办法》等系列科技创新创业政策，加大研发投入，培育创新主体，促进科技成果转化。2020年，地方财政科技拨款达17.6亿元，占地方财政支出比重达5.4%，较“十二五”末提高0.82个百分点;全社会研发（R&amp;D）经费投入达52.4亿元，研发投入强度达2.52%，较“十二五”末提高0.34个百分点。“十三五”期间，先后荣获国家知识产权质押融资示范市、国家文化和科技融合示范基地、国家大众创业万众创新示范基地、国家新型工业化军民融合产业示范基地等荣誉称号。连续举办5届全国创新创业大赛蚌埠地方赛，成功举办院士蚌埠行活动，为营造良好的创新创业生态环境氛围、激发大众创新创业活力发挥了积极作用。</w:t>
      </w:r>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创新要素加速集聚。</w:t>
      </w:r>
      <w:r>
        <w:rPr>
          <w:rFonts w:hint="eastAsia" w:ascii="仿宋" w:hAnsi="仿宋" w:eastAsia="仿宋" w:cs="仿宋"/>
          <w:color w:val="auto"/>
          <w:sz w:val="32"/>
          <w:szCs w:val="32"/>
          <w:highlight w:val="none"/>
        </w:rPr>
        <w:t>“十三五”期间，国家自主创新试验区升级为示范区，获批国家全面创新改革试验区，获批中国（安徽）自由贸易试验区蚌埠片区。全市拥有浮法玻璃新技术国家重点实验室等国家级研发平台9个、省级研发平台200个，省级以上科技孵化器4家、省级以上众创空间（星创天地）23家，孵化面积达50万平方米，入驻企业500多家，创客1100余人。全市拥有院士工作站、博士后科研工作站25个，省“115”产业创新团队29个、省特支计划50人、省战略性新兴产业领军人才155人、享受国务院特殊津贴和省政府特殊津贴144人，各类高层次人才及创新团队总量位居全省前列。率先在国内探索并实施知识产权质押融资，设立质押贷款风险补偿基金，“十三五”期间共办理知识产权贷款400余件，为企业融资超过30亿元。</w:t>
      </w:r>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创新能力显著增强。</w:t>
      </w:r>
      <w:r>
        <w:rPr>
          <w:rFonts w:hint="eastAsia" w:ascii="仿宋" w:hAnsi="仿宋" w:eastAsia="仿宋" w:cs="仿宋"/>
          <w:color w:val="auto"/>
          <w:sz w:val="32"/>
          <w:szCs w:val="32"/>
          <w:highlight w:val="none"/>
        </w:rPr>
        <w:t>发明专利质量提升明显，申请与授权量快速增长。“十三五”期间，全市专利申请量为42955件，其中发明专利申请量为21014件；专利授权量为16699件，其中发明专利授权量为3330件；全市每万人口发明专利拥有量20.2件，是“十二五”末的3.16倍，位居全省第4位。依托浮法玻璃新技术国家重点实验室、微电子机械系统（MEMS）国家地方联合工程实验室等重大研发平台，攻克一批产业关键技术难题，取得一批重大科技成果与奖项，成功拉引世界最薄0.12毫米超薄浮法电子玻璃、全国首片完全自主知识产权8.5代TFT-LCD玻璃基板成功下线、国内率先开发出30微米柔性可折叠玻璃、中国第一条规模最大、技术最先进的聚乳酸全产业链生产线成功量产，建成世界首条千吨级聚乳酸纤维生产线、中电科41所联合中国信通院、华为共同发布5G技术方案验证试验样机测试国际标准、国内首片铜铟镓硒薄膜太阳能电池模组成功下线；“地质工程分布式光纤监测关键技术及其应用”及“超薄信息显示玻璃工业化制备关键技术及成套装备开发”等4个项目获得国家科学技术</w:t>
      </w:r>
      <w:r>
        <w:rPr>
          <w:rFonts w:hint="eastAsia" w:ascii="仿宋" w:hAnsi="仿宋" w:eastAsia="仿宋" w:cs="仿宋"/>
          <w:bCs/>
          <w:color w:val="auto"/>
          <w:sz w:val="32"/>
          <w:szCs w:val="32"/>
          <w:highlight w:val="none"/>
        </w:rPr>
        <w:t>进步</w:t>
      </w:r>
      <w:r>
        <w:rPr>
          <w:rFonts w:hint="eastAsia" w:ascii="仿宋" w:hAnsi="仿宋" w:eastAsia="仿宋" w:cs="仿宋"/>
          <w:color w:val="auto"/>
          <w:sz w:val="32"/>
          <w:szCs w:val="32"/>
          <w:highlight w:val="none"/>
        </w:rPr>
        <w:t>一、二等奖。</w:t>
      </w:r>
    </w:p>
    <w:p>
      <w:pPr>
        <w:widowControl/>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创新产出快速增长。</w:t>
      </w:r>
      <w:r>
        <w:rPr>
          <w:rFonts w:hint="eastAsia" w:ascii="仿宋" w:hAnsi="仿宋" w:eastAsia="仿宋" w:cs="仿宋"/>
          <w:color w:val="auto"/>
          <w:sz w:val="32"/>
          <w:szCs w:val="32"/>
          <w:highlight w:val="none"/>
        </w:rPr>
        <w:t>科技创新的引领与支撑作用不断增强，持续推动产业转型升级与结构优化。较“十二五”末净增高新技术企业数190家，净增数量创历史新高，高新技术企业总数达到394家，居全省第5位。高新技术产业增加值占全省比重为7.7%，居全省第4位。形成以硅基新材料、生物基新材料为龙头，智能装备制造、高端电子器件等优势产业为主导的创新产业体系，战略性新兴产业产值、高新技术产业产值年均增长分别为21%和16.3%。开发区综合实力明显增强，全市拥有省级以上开发区6个，其中国家级高新区1个、省级经济开发区5个，开发区贡献了全市60%的规上工业产值，蚌埠国家高新区成为全省唯一一家获评中国产学研合作创新示范基地。蚌埠国家农业科技园区3年建成，现场考察取得“优秀”等次，顺利通过科技部答辩验收，成为垦地合作的新样板。</w:t>
      </w:r>
    </w:p>
    <w:p>
      <w:pPr>
        <w:numPr>
          <w:ilvl w:val="0"/>
          <w:numId w:val="0"/>
        </w:numPr>
        <w:jc w:val="center"/>
        <w:outlineLvl w:val="1"/>
        <w:rPr>
          <w:rFonts w:hint="eastAsia" w:ascii="楷体" w:hAnsi="楷体" w:eastAsia="楷体" w:cs="楷体"/>
          <w:bCs/>
          <w:color w:val="auto"/>
          <w:sz w:val="32"/>
          <w:szCs w:val="32"/>
          <w:highlight w:val="none"/>
        </w:rPr>
      </w:pPr>
      <w:bookmarkStart w:id="28" w:name="_Toc25833"/>
      <w:bookmarkStart w:id="29" w:name="_Toc18233"/>
      <w:bookmarkStart w:id="30" w:name="_Toc11041"/>
      <w:bookmarkStart w:id="31" w:name="_Toc779"/>
      <w:bookmarkStart w:id="32" w:name="_Toc18324"/>
      <w:bookmarkStart w:id="33" w:name="_Toc12052"/>
      <w:bookmarkStart w:id="34" w:name="_Toc100851631"/>
      <w:bookmarkStart w:id="35" w:name="_Toc7733"/>
      <w:bookmarkStart w:id="36" w:name="_Toc27987"/>
      <w:bookmarkStart w:id="37" w:name="_Toc15403"/>
      <w:bookmarkStart w:id="38" w:name="_Toc73005638"/>
      <w:bookmarkStart w:id="39" w:name="_Toc17742"/>
      <w:bookmarkStart w:id="40" w:name="_Toc12976"/>
      <w:r>
        <w:rPr>
          <w:rFonts w:hint="eastAsia" w:ascii="楷体" w:hAnsi="楷体" w:eastAsia="楷体" w:cs="楷体"/>
          <w:bCs/>
          <w:color w:val="auto"/>
          <w:sz w:val="32"/>
          <w:szCs w:val="32"/>
          <w:highlight w:val="none"/>
          <w:lang w:val="en-US" w:eastAsia="zh-CN"/>
        </w:rPr>
        <w:t xml:space="preserve">第二节 </w:t>
      </w:r>
      <w:r>
        <w:rPr>
          <w:rFonts w:hint="eastAsia" w:ascii="楷体" w:hAnsi="楷体" w:eastAsia="楷体" w:cs="楷体"/>
          <w:bCs/>
          <w:color w:val="auto"/>
          <w:sz w:val="32"/>
          <w:szCs w:val="32"/>
          <w:highlight w:val="none"/>
        </w:rPr>
        <w:t>面临形势</w:t>
      </w:r>
      <w:bookmarkEnd w:id="28"/>
      <w:bookmarkEnd w:id="29"/>
      <w:bookmarkEnd w:id="30"/>
      <w:bookmarkEnd w:id="31"/>
      <w:bookmarkEnd w:id="32"/>
      <w:bookmarkEnd w:id="33"/>
      <w:bookmarkEnd w:id="34"/>
      <w:bookmarkEnd w:id="35"/>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当今世界正面临百年未有之大变局，新一轮科技革命和产业变革步伐加速演进，世界经济放缓、贸易摩擦和保护主义、“新冠”疫情蔓延等各类不确定性因素相互叠加，在“十四五”时期乃至更长的一段时期内，我国科技创新工作面临的国内外形势依然复杂严峻。一方面，中国经济发展下行压力加大，突如其来的疫情使得中国经济发展韧性面临更大的压力测试，科技成为经贸摩擦的主要“承压区”；另一方面，建设现代化经济体系，推动经济高质量发展，迫切需要发挥科技创新的支撑引领作用。从全局看，错综复杂的国内外环境给我国科技创新发展提出了新问题、带来新挑战，但是整体稳中向好的总基调没有变，仍处于重要战略机遇期的态势没有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从全球看，</w:t>
      </w:r>
      <w:r>
        <w:rPr>
          <w:rFonts w:hint="eastAsia" w:ascii="仿宋" w:hAnsi="仿宋" w:eastAsia="仿宋" w:cs="仿宋"/>
          <w:color w:val="auto"/>
          <w:sz w:val="32"/>
          <w:szCs w:val="32"/>
          <w:highlight w:val="none"/>
        </w:rPr>
        <w:t>当前新一轮科技革命和产业革命正处在实现重大革新突破的历史关口，呈现出跨学科、多领域、交叉性、群体性、融合性等新态势，全球科技创新进入空前的密集活跃期，各类新技术、新产品、新业态、新模式层出不穷并加速应用，5G、云计算、区块链等新一代信息技术与生物技术、先进制造技术、新空间开拓、新能源新材料技术等新兴技术深度交叉融合，推动全球产业链、供应链、价值链和创新链加快重构，目前世界主要发达国家与新兴经济体纷纷加紧实施创新驱动战略，加紧制定重要规划和措施，布局高技术领域与新兴产业，德国制定“工业4.0”、美国实施“再工业化”战略及日本推出“第四次工业革命”计划等，力图抢占科技创新与产业发展制高点。技术革命促使全球产业合作格局重构、国际产业分工体系全面调整，产业之间的边界渐趋模糊，产业发展核心也由打造产业集聚向构建产业生态转变，人才、技术、知识、资本等创新要素全球流动速度之快、范围之广和规模之大达到空前水平。新的国际形势，对未来“十四五”时期，蚌埠自主创新能力的提升提出了更高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从国内看，</w:t>
      </w:r>
      <w:r>
        <w:rPr>
          <w:rFonts w:hint="eastAsia" w:ascii="仿宋" w:hAnsi="仿宋" w:eastAsia="仿宋" w:cs="仿宋"/>
          <w:color w:val="auto"/>
          <w:sz w:val="32"/>
          <w:szCs w:val="32"/>
          <w:highlight w:val="none"/>
        </w:rPr>
        <w:t>当前我国经济发展进入新常态，经济转向高质量发展阶段，国家正在加快构建以国内大循环为主体、国内国际双循环相互促进的新发展格局，坚持创新发展、着力实施创新驱动战略，构筑科技创新的智能化优势，为科技创新发展提供了新机遇。同时，“新冠”疫情给国内生产制造业、消费模式、资本市场、对外贸易等带来的冲击超出预期，发展核心技术、“卡脖子”技术、未来技术日益迫切，提质增效、转型升级的要求更为强烈。紧跟长三角一体化发展，国家积极推动安徽融入长三角科技创新共同体和产业合作示范基地，承接上海大都市核心功能疏解和苏浙产业转移，更深层次更多领域融入长三角产业分工协作。紧扣“一体化”和“高质量”两个关键词，国家加快实施创新驱动发展战略，加大对皖北高质量发展的力度。十四五”时期，安徽省委省政府将积极推进合芜蚌国家自主创新示范区和淮河（安徽）生态经济带建设，支持蚌埠硅基、生物基重大项目建设，支持皖北实施科技重大专项、建设重大新兴产业基地、创建国家级特色农产品优势区，提高综合交通运输能力、水安全保障能力，打造高质量发展新动力源等一系列工作，发挥科技创新在全面创新中的引领作用，加快发展现代产业体系，推动各区域板块协调发展，为蚌埠“十四五”创新发展指明了方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从蚌埠自身看，</w:t>
      </w:r>
      <w:r>
        <w:rPr>
          <w:rFonts w:hint="eastAsia" w:ascii="仿宋" w:hAnsi="仿宋" w:eastAsia="仿宋" w:cs="仿宋"/>
          <w:bCs/>
          <w:color w:val="auto"/>
          <w:sz w:val="32"/>
          <w:szCs w:val="32"/>
          <w:highlight w:val="none"/>
        </w:rPr>
        <w:t>区位优势明显，</w:t>
      </w:r>
      <w:r>
        <w:rPr>
          <w:rFonts w:hint="eastAsia" w:ascii="仿宋" w:hAnsi="仿宋" w:eastAsia="仿宋" w:cs="仿宋"/>
          <w:color w:val="auto"/>
          <w:sz w:val="32"/>
          <w:szCs w:val="32"/>
          <w:highlight w:val="none"/>
        </w:rPr>
        <w:t>蚌埠是全国性综合交通枢纽城市、长三角重点城市、国家中部地区区域中心城市、淮河生态经济带中心城市、皖北地区中心城市，是安徽省重要的综合性工业基地，在国家中部崛起战略中发挥着重要作用。创新资源集聚优势良好，是合芜蚌国家自主创新示范区重要一极，是安徽三大科教集聚地之一，科技创新资源仅次于合肥。产业定位明晰，“创新之城•材料之都•制造高地•幸福蚌埠”雏形初现，立足世界级硅基、生物基先进制造业中心目标定位，着力打造以硅基、生物基新材料、新一代信息技术、高端装备制造、生命健康等优势产业为支撑的现代化创新产业体系。战略机遇优势突出，长三角区域一体化高质量发展扎实推进、合芜蚌国家自主创新示范区蚌埠片区建设稳步推进、中国(安徽)自由贸易试验区蚌埠片区正式挂牌、淮河生态经济带发展规划上升为国家战略、国家科技成果转移转化示范区与皖北承接产业转移集聚区有序推动、省委省政府明确支持蚌埠“两个中心”建设、国家创新型城市获批建设、整体纳入合肥都市圈规划范围等，使得多重战略实施带来的政策优势在蚌埠叠加，为“十四五”科技创新发展带来了重要的历史机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面对新形势和新机遇，蚌埠科技创新发展还存在新兴产业规模不大、新兴产业培育滞后、创新人才不足、创新主体能力不强、科技金融等服务体系不健全、科技要素集聚能力弱等方面的问题，迫切需要完善并落实各项科技创新发展系列政策措施，主动融入“双循环”新发展格局，强化改革创新力度，提升创新策源能力，围绕主导优势产业，大力发展战略新兴产业，推动传统产业转型升级，努力抢占产业价值链高端，全面提升全市综合创新实力，发挥创新驱动引领、高质量发展示范作用，打造“三地一区”两中心、实现“五个更加”，建成国家创新型城市。</w:t>
      </w:r>
      <w:bookmarkStart w:id="41" w:name="_Toc30088"/>
      <w:bookmarkStart w:id="42" w:name="_Toc73005639"/>
      <w:bookmarkStart w:id="43" w:name="_Toc24168"/>
      <w:bookmarkStart w:id="44" w:name="_Toc30573"/>
      <w:bookmarkStart w:id="45" w:name="_Toc10685"/>
      <w:bookmarkStart w:id="46" w:name="_Toc7286"/>
      <w:bookmarkStart w:id="47" w:name="_Toc26927"/>
      <w:bookmarkStart w:id="48" w:name="_Toc17651"/>
      <w:bookmarkStart w:id="49" w:name="_Toc10622"/>
      <w:bookmarkStart w:id="50" w:name="_Toc29833"/>
      <w:bookmarkStart w:id="51" w:name="_Toc9208"/>
    </w:p>
    <w:p>
      <w:pPr>
        <w:pStyle w:val="15"/>
        <w:numPr>
          <w:ilvl w:val="0"/>
          <w:numId w:val="0"/>
        </w:numPr>
        <w:jc w:val="center"/>
        <w:outlineLvl w:val="0"/>
        <w:rPr>
          <w:rFonts w:hint="eastAsia" w:ascii="黑体" w:hAnsi="黑体" w:eastAsia="黑体" w:cs="黑体"/>
          <w:bCs/>
          <w:color w:val="auto"/>
          <w:sz w:val="36"/>
          <w:szCs w:val="36"/>
          <w:highlight w:val="none"/>
        </w:rPr>
      </w:pPr>
      <w:bookmarkStart w:id="52" w:name="_Toc100851632"/>
      <w:r>
        <w:rPr>
          <w:rFonts w:hint="eastAsia" w:ascii="黑体" w:hAnsi="黑体" w:eastAsia="黑体" w:cs="黑体"/>
          <w:bCs/>
          <w:color w:val="auto"/>
          <w:sz w:val="36"/>
          <w:szCs w:val="36"/>
          <w:highlight w:val="none"/>
          <w:lang w:val="en-US" w:eastAsia="zh-CN"/>
        </w:rPr>
        <w:t xml:space="preserve">第二章 </w:t>
      </w:r>
      <w:r>
        <w:rPr>
          <w:rFonts w:hint="eastAsia" w:ascii="黑体" w:hAnsi="黑体" w:eastAsia="黑体" w:cs="黑体"/>
          <w:bCs/>
          <w:color w:val="auto"/>
          <w:sz w:val="36"/>
          <w:szCs w:val="36"/>
          <w:highlight w:val="none"/>
        </w:rPr>
        <w:t>指导思想、基本原则和发展目标</w:t>
      </w:r>
      <w:bookmarkEnd w:id="41"/>
      <w:bookmarkEnd w:id="42"/>
      <w:bookmarkEnd w:id="43"/>
      <w:bookmarkEnd w:id="44"/>
      <w:bookmarkEnd w:id="45"/>
      <w:bookmarkEnd w:id="46"/>
      <w:bookmarkEnd w:id="47"/>
      <w:bookmarkEnd w:id="48"/>
      <w:bookmarkEnd w:id="49"/>
      <w:bookmarkEnd w:id="50"/>
      <w:bookmarkEnd w:id="51"/>
      <w:bookmarkEnd w:id="52"/>
    </w:p>
    <w:p>
      <w:pPr>
        <w:numPr>
          <w:ilvl w:val="0"/>
          <w:numId w:val="0"/>
        </w:numPr>
        <w:ind w:left="630" w:leftChars="0"/>
        <w:jc w:val="center"/>
        <w:outlineLvl w:val="1"/>
        <w:rPr>
          <w:rFonts w:hint="eastAsia" w:ascii="楷体" w:hAnsi="楷体" w:eastAsia="楷体" w:cs="楷体"/>
          <w:bCs/>
          <w:color w:val="auto"/>
          <w:sz w:val="32"/>
          <w:szCs w:val="32"/>
          <w:highlight w:val="none"/>
        </w:rPr>
      </w:pPr>
      <w:bookmarkStart w:id="53" w:name="_Toc2380"/>
      <w:bookmarkStart w:id="54" w:name="_Toc73005640"/>
      <w:bookmarkStart w:id="55" w:name="_Toc100851633"/>
      <w:bookmarkStart w:id="56" w:name="_Toc26004"/>
      <w:bookmarkStart w:id="57" w:name="_Toc16915"/>
      <w:bookmarkStart w:id="58" w:name="_Toc27183"/>
      <w:bookmarkStart w:id="59" w:name="_Toc3854"/>
      <w:bookmarkStart w:id="60" w:name="_Toc10539"/>
      <w:bookmarkStart w:id="61" w:name="_Toc16731"/>
      <w:bookmarkStart w:id="62" w:name="_Toc32033"/>
      <w:bookmarkStart w:id="63" w:name="_Toc5054"/>
      <w:bookmarkStart w:id="64" w:name="_Toc27600"/>
      <w:bookmarkStart w:id="65" w:name="_Toc23942"/>
      <w:r>
        <w:rPr>
          <w:rFonts w:hint="eastAsia" w:ascii="楷体" w:hAnsi="楷体" w:eastAsia="楷体" w:cs="楷体"/>
          <w:bCs/>
          <w:color w:val="auto"/>
          <w:sz w:val="32"/>
          <w:szCs w:val="32"/>
          <w:highlight w:val="none"/>
          <w:lang w:val="en-US" w:eastAsia="zh-CN"/>
        </w:rPr>
        <w:t xml:space="preserve">第一节 </w:t>
      </w:r>
      <w:r>
        <w:rPr>
          <w:rFonts w:hint="eastAsia" w:ascii="楷体" w:hAnsi="楷体" w:eastAsia="楷体" w:cs="楷体"/>
          <w:bCs/>
          <w:color w:val="auto"/>
          <w:sz w:val="32"/>
          <w:szCs w:val="32"/>
          <w:highlight w:val="none"/>
        </w:rPr>
        <w:t>指导思想</w:t>
      </w:r>
      <w:bookmarkEnd w:id="53"/>
      <w:bookmarkEnd w:id="54"/>
      <w:bookmarkEnd w:id="55"/>
      <w:bookmarkEnd w:id="56"/>
      <w:bookmarkEnd w:id="57"/>
      <w:bookmarkEnd w:id="58"/>
      <w:bookmarkEnd w:id="59"/>
      <w:bookmarkEnd w:id="60"/>
      <w:bookmarkEnd w:id="61"/>
      <w:bookmarkEnd w:id="62"/>
      <w:bookmarkEnd w:id="63"/>
      <w:bookmarkEnd w:id="64"/>
      <w:bookmarkEnd w:id="65"/>
    </w:p>
    <w:p>
      <w:pPr>
        <w:pStyle w:val="8"/>
        <w:ind w:firstLine="640" w:firstLineChars="200"/>
        <w:rPr>
          <w:rFonts w:hint="eastAsia" w:ascii="仿宋" w:hAnsi="仿宋" w:eastAsia="仿宋" w:cs="仿宋"/>
          <w:color w:val="auto"/>
          <w:sz w:val="32"/>
          <w:highlight w:val="none"/>
        </w:rPr>
      </w:pPr>
      <w:r>
        <w:rPr>
          <w:rFonts w:hint="eastAsia" w:ascii="仿宋" w:hAnsi="仿宋" w:eastAsia="仿宋" w:cs="仿宋"/>
          <w:color w:val="auto"/>
          <w:sz w:val="32"/>
          <w:szCs w:val="32"/>
          <w:highlight w:val="none"/>
        </w:rPr>
        <w:t>坚持以习近平新时代中国特色社会主义思想为指导，深入贯彻党的十九大和十九届二中、三中、四中、五中、六中全会精神，全面贯彻习近平总书记关于科技创新的重要论述和考察安徽重要讲话指示精神，坚持创新在现代化建设全局中的核心地位，坚持“四个面向”，把科技自立自强作为高质量发展的战略支撑，深入实施创新驱动发展战略，</w:t>
      </w:r>
      <w:bookmarkStart w:id="66" w:name="_Hlk98116099"/>
      <w:r>
        <w:rPr>
          <w:rFonts w:hint="eastAsia" w:ascii="仿宋" w:hAnsi="仿宋" w:eastAsia="仿宋" w:cs="仿宋"/>
          <w:color w:val="auto"/>
          <w:sz w:val="32"/>
          <w:szCs w:val="32"/>
          <w:highlight w:val="none"/>
        </w:rPr>
        <w:t>聚焦“淮河流域和皖北地区中心城市、国家区域中心城市”发展定位</w:t>
      </w:r>
      <w:bookmarkEnd w:id="66"/>
      <w:r>
        <w:rPr>
          <w:rFonts w:hint="eastAsia" w:ascii="仿宋" w:hAnsi="仿宋" w:eastAsia="仿宋" w:cs="仿宋"/>
          <w:color w:val="auto"/>
          <w:sz w:val="32"/>
          <w:szCs w:val="32"/>
          <w:highlight w:val="none"/>
        </w:rPr>
        <w:t>，以创建国家创新型城市为目标，以建设科技创新攻坚力量体系为主线，以推动产业创新为抓手，以打造高能级创新平台为载体，以深化体制机制改革为动力，以拓展创新合作空间为契机，以优化创新环境为保障，以提升整体创新效能为根本，不断推进科技与经济紧密结合、创新成果与产业发展有效对接、自主创新与自由贸易深度融合，为蚌埠打造“三地一区”两中心、实现“五个更加”、建设“创新之城·材料之都·制造高地·幸福蚌埠”提供强大科技支撑。</w:t>
      </w:r>
    </w:p>
    <w:p>
      <w:pPr>
        <w:numPr>
          <w:ilvl w:val="0"/>
          <w:numId w:val="0"/>
        </w:numPr>
        <w:jc w:val="center"/>
        <w:outlineLvl w:val="1"/>
        <w:rPr>
          <w:rFonts w:hint="eastAsia" w:ascii="方正楷体简体" w:hAnsi="方正楷体简体" w:eastAsia="方正楷体简体" w:cs="方正楷体简体"/>
          <w:bCs/>
          <w:color w:val="auto"/>
          <w:sz w:val="32"/>
          <w:szCs w:val="32"/>
          <w:highlight w:val="none"/>
          <w:lang w:val="en-US" w:eastAsia="zh-CN"/>
        </w:rPr>
      </w:pPr>
      <w:bookmarkStart w:id="67" w:name="_Toc9700"/>
      <w:bookmarkStart w:id="68" w:name="_Toc17814"/>
      <w:bookmarkStart w:id="69" w:name="_Toc32521"/>
      <w:bookmarkStart w:id="70" w:name="_Toc100851634"/>
      <w:bookmarkStart w:id="71" w:name="_Toc11743"/>
      <w:bookmarkStart w:id="72" w:name="_Toc27638"/>
      <w:bookmarkStart w:id="73" w:name="_Toc1688"/>
      <w:bookmarkStart w:id="74" w:name="_Toc16651"/>
      <w:bookmarkStart w:id="75" w:name="_Toc14607"/>
      <w:bookmarkStart w:id="76" w:name="_Toc8392"/>
      <w:bookmarkStart w:id="77" w:name="_Toc73005641"/>
      <w:bookmarkStart w:id="78" w:name="_Toc1698"/>
      <w:bookmarkStart w:id="79" w:name="_Toc3505"/>
    </w:p>
    <w:p>
      <w:pPr>
        <w:numPr>
          <w:ilvl w:val="0"/>
          <w:numId w:val="0"/>
        </w:numPr>
        <w:jc w:val="center"/>
        <w:outlineLvl w:val="1"/>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val="en-US" w:eastAsia="zh-CN"/>
        </w:rPr>
        <w:t xml:space="preserve">第二节 </w:t>
      </w:r>
      <w:r>
        <w:rPr>
          <w:rFonts w:hint="eastAsia" w:ascii="楷体" w:hAnsi="楷体" w:eastAsia="楷体" w:cs="楷体"/>
          <w:bCs/>
          <w:color w:val="auto"/>
          <w:sz w:val="32"/>
          <w:szCs w:val="32"/>
          <w:highlight w:val="none"/>
        </w:rPr>
        <w:t>基本原则</w:t>
      </w:r>
      <w:bookmarkEnd w:id="67"/>
      <w:bookmarkEnd w:id="68"/>
      <w:bookmarkEnd w:id="69"/>
      <w:bookmarkEnd w:id="70"/>
      <w:bookmarkEnd w:id="71"/>
      <w:bookmarkEnd w:id="72"/>
      <w:bookmarkEnd w:id="73"/>
      <w:bookmarkEnd w:id="74"/>
      <w:bookmarkEnd w:id="75"/>
      <w:bookmarkEnd w:id="76"/>
      <w:bookmarkEnd w:id="77"/>
      <w:bookmarkEnd w:id="78"/>
      <w:bookmarkEnd w:id="79"/>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统筹协调，重点突破。</w:t>
      </w:r>
      <w:r>
        <w:rPr>
          <w:rFonts w:hint="eastAsia" w:ascii="仿宋" w:hAnsi="仿宋" w:eastAsia="仿宋" w:cs="仿宋"/>
          <w:color w:val="auto"/>
          <w:sz w:val="32"/>
          <w:szCs w:val="32"/>
          <w:highlight w:val="none"/>
        </w:rPr>
        <w:t>抓好顶层设计，统筹经济、社会等领域科技创新发展，找准世界科技发展趋势，瞄准科技创新关键共性难题和重大短板，抢占事关长远和全局的科技战略制高点，立足蚌埠有基础、有优势、有条件、能突破的领域，明确科技创新重点任务、重点领域和关键环节，加强创新规划制定、任务安排、项目实施的统筹协调，加快推进科技创新攻坚力量体系建设，让科技创新成为推动新阶段现代化美好蚌埠跨越发展的战略支撑。</w:t>
      </w:r>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市场主导，政府引导。</w:t>
      </w:r>
      <w:r>
        <w:rPr>
          <w:rFonts w:hint="eastAsia" w:ascii="仿宋" w:hAnsi="仿宋" w:eastAsia="仿宋" w:cs="仿宋"/>
          <w:color w:val="auto"/>
          <w:sz w:val="32"/>
          <w:szCs w:val="32"/>
          <w:highlight w:val="none"/>
        </w:rPr>
        <w:t>正确处理好政府和市场的关系，坚持用改革激发创新驱动力，健全技术创新市场导向机制，充分发挥市场在技术创新领域、技术路线选择及创新资源配置中的决定性作用。更好发挥政府作用，完善技术创新激励体系、技术创新政策支持体系和技术创新社会化服务体系，多措并举强化企业创新主体地位，着力固根基、扬优势、补短板、强弱项，提升区域创新体系整体效能。</w:t>
      </w:r>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开放合作，协同创新。</w:t>
      </w:r>
      <w:r>
        <w:rPr>
          <w:rFonts w:hint="eastAsia" w:ascii="仿宋" w:hAnsi="仿宋" w:eastAsia="仿宋" w:cs="仿宋"/>
          <w:color w:val="auto"/>
          <w:sz w:val="32"/>
          <w:szCs w:val="32"/>
          <w:highlight w:val="none"/>
        </w:rPr>
        <w:t>立足长三角、面向全国、放眼全球，深度推进“双招双引”工作，在科技创新的各个领域深化区域性和国际化合作，促进技术、人才、资金、信息等要素交流融合，着力发挥驻蚌高校、科研机构、企业的作用，协同完善创新链、产业链、资金链、人才链与政策链，构筑全方位、高层次的“政产学研长用金”贯通融合平台，完善“基础研究+技术开发+成果转化”的创新链，重点推动新材料、新一代信息技术、高端装备制造等产业加快集聚，提高产业链供应链稳定性和现代化水平。</w:t>
      </w:r>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制度创新，环境优化。</w:t>
      </w:r>
      <w:r>
        <w:rPr>
          <w:rFonts w:hint="eastAsia" w:ascii="仿宋" w:hAnsi="仿宋" w:eastAsia="仿宋" w:cs="仿宋"/>
          <w:color w:val="auto"/>
          <w:sz w:val="32"/>
          <w:szCs w:val="32"/>
          <w:highlight w:val="none"/>
        </w:rPr>
        <w:t>积极探索制度创新，根据蚌埠科技创新发展状况和现实需求，完善制度供给，深化科技体制机制改革，激发创新发展内生动力。积极营造鼓励创新、宽容失败的文化氛围，完善产权保护制度，形成主体协同、人才引领、金融支持、平台支撑、各方联动、优势互补的创新格局，激发全社会创新活力和创造潜力。</w:t>
      </w:r>
    </w:p>
    <w:p>
      <w:pPr>
        <w:numPr>
          <w:ilvl w:val="0"/>
          <w:numId w:val="0"/>
        </w:numPr>
        <w:ind w:left="630" w:leftChars="0"/>
        <w:jc w:val="center"/>
        <w:outlineLvl w:val="1"/>
        <w:rPr>
          <w:rFonts w:hint="eastAsia" w:ascii="楷体" w:hAnsi="楷体" w:eastAsia="楷体" w:cs="楷体"/>
          <w:bCs/>
          <w:color w:val="auto"/>
          <w:sz w:val="32"/>
          <w:szCs w:val="32"/>
          <w:highlight w:val="none"/>
        </w:rPr>
      </w:pPr>
      <w:bookmarkStart w:id="80" w:name="_Toc21653"/>
      <w:bookmarkStart w:id="81" w:name="_Toc16225"/>
      <w:bookmarkStart w:id="82" w:name="_Toc16927"/>
      <w:bookmarkStart w:id="83" w:name="_Toc23939"/>
      <w:bookmarkStart w:id="84" w:name="_Toc20690"/>
      <w:bookmarkStart w:id="85" w:name="_Toc73005642"/>
      <w:bookmarkStart w:id="86" w:name="_Toc29231"/>
      <w:bookmarkStart w:id="87" w:name="_Toc10048"/>
      <w:bookmarkStart w:id="88" w:name="_Toc22602"/>
      <w:bookmarkStart w:id="89" w:name="_Toc100851635"/>
      <w:bookmarkStart w:id="90" w:name="_Toc16514"/>
      <w:bookmarkStart w:id="91" w:name="_Toc24589"/>
      <w:bookmarkStart w:id="92" w:name="_Toc19311"/>
      <w:r>
        <w:rPr>
          <w:rFonts w:hint="eastAsia" w:ascii="楷体" w:hAnsi="楷体" w:eastAsia="楷体" w:cs="楷体"/>
          <w:bCs/>
          <w:color w:val="auto"/>
          <w:sz w:val="32"/>
          <w:szCs w:val="32"/>
          <w:highlight w:val="none"/>
          <w:lang w:val="en-US" w:eastAsia="zh-CN"/>
        </w:rPr>
        <w:t xml:space="preserve">第三节 </w:t>
      </w:r>
      <w:r>
        <w:rPr>
          <w:rFonts w:hint="eastAsia" w:ascii="楷体" w:hAnsi="楷体" w:eastAsia="楷体" w:cs="楷体"/>
          <w:bCs/>
          <w:color w:val="auto"/>
          <w:sz w:val="32"/>
          <w:szCs w:val="32"/>
          <w:highlight w:val="none"/>
        </w:rPr>
        <w:t>发展目标</w:t>
      </w:r>
      <w:bookmarkEnd w:id="80"/>
      <w:bookmarkEnd w:id="81"/>
      <w:bookmarkEnd w:id="82"/>
      <w:bookmarkEnd w:id="83"/>
      <w:bookmarkEnd w:id="84"/>
      <w:bookmarkEnd w:id="85"/>
      <w:bookmarkEnd w:id="86"/>
      <w:bookmarkEnd w:id="87"/>
      <w:bookmarkEnd w:id="88"/>
      <w:bookmarkEnd w:id="89"/>
      <w:bookmarkEnd w:id="90"/>
      <w:bookmarkEnd w:id="91"/>
      <w:bookmarkEnd w:id="92"/>
    </w:p>
    <w:p>
      <w:pPr>
        <w:pStyle w:val="15"/>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到2025年，创新发展水平明显提升，创新对产业的支撑更加强劲，创新人才加速集聚，区域创新体系更加完善，创新创业环境更加优化，初步建成区域性科技创新中心、国家创新型城市。</w:t>
      </w:r>
    </w:p>
    <w:p>
      <w:pPr>
        <w:pStyle w:val="15"/>
        <w:ind w:firstLine="64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创新能力明显提升。</w:t>
      </w:r>
      <w:r>
        <w:rPr>
          <w:rFonts w:hint="eastAsia" w:ascii="仿宋" w:hAnsi="仿宋" w:eastAsia="仿宋" w:cs="仿宋"/>
          <w:bCs/>
          <w:color w:val="auto"/>
          <w:sz w:val="32"/>
          <w:szCs w:val="32"/>
          <w:highlight w:val="none"/>
        </w:rPr>
        <w:t>全社会</w:t>
      </w:r>
      <w:r>
        <w:rPr>
          <w:rFonts w:hint="eastAsia" w:ascii="仿宋" w:hAnsi="仿宋" w:eastAsia="仿宋" w:cs="仿宋"/>
          <w:color w:val="auto"/>
          <w:sz w:val="32"/>
          <w:szCs w:val="32"/>
          <w:highlight w:val="none"/>
        </w:rPr>
        <w:t>研发经费投入年均增长1</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左右，研发投入强度保持全省前列，基础研究经费投入占全社会研发经费投入的比重保持全省前五；建成一批国家、省级研发平台，国家级研发平台达13家以上，规模以上工业企业研发投入占企业主营业务收入的比重达1.85%左右；每万人高价值发明专利拥有量高于全省平均水平，企业当年申请PCT专利数力争达到16件。</w:t>
      </w:r>
    </w:p>
    <w:p>
      <w:pPr>
        <w:pStyle w:val="15"/>
        <w:ind w:firstLine="64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产业支撑力更加强劲。</w:t>
      </w:r>
      <w:r>
        <w:rPr>
          <w:rFonts w:hint="eastAsia" w:ascii="仿宋" w:hAnsi="仿宋" w:eastAsia="仿宋" w:cs="仿宋"/>
          <w:color w:val="auto"/>
          <w:sz w:val="32"/>
          <w:szCs w:val="32"/>
          <w:highlight w:val="none"/>
        </w:rPr>
        <w:t>在硅基、生物基新材料和高端装备制造、新一代信息技术等领域突破一批重大关键核心技术，取得一批创新成果，企业创新主体地位更加稳健，高新技术企业超过1000家，培育科技型中小企业达1000家，高新技术产业增加值年均增幅1</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%以上，战略性新兴产业产值占规模以上工业产值的比重达到45%，新一代信息技术、新材料两大产业力争破千亿。</w:t>
      </w:r>
    </w:p>
    <w:p>
      <w:pPr>
        <w:pStyle w:val="15"/>
        <w:ind w:firstLine="64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创新人才加速集聚。</w:t>
      </w:r>
      <w:r>
        <w:rPr>
          <w:rFonts w:hint="eastAsia" w:ascii="仿宋" w:hAnsi="仿宋" w:eastAsia="仿宋" w:cs="仿宋"/>
          <w:color w:val="auto"/>
          <w:sz w:val="32"/>
          <w:szCs w:val="32"/>
          <w:highlight w:val="none"/>
        </w:rPr>
        <w:t>制定实施新阶段人才政策，完善各层次人才激励机制，重点支持建设一批创新型人才集聚平台和高层次科技人才团队。全市博士后科研工作站达到40家，新引进科技创业领军人才（团队）50个，培育创新型企业家300名，引育省高层次科技人才团队数保持全省前五，每万就业人口中从事R&amp;D活动人员</w:t>
      </w:r>
      <w:r>
        <w:rPr>
          <w:rFonts w:hint="eastAsia" w:ascii="仿宋" w:hAnsi="仿宋" w:eastAsia="仿宋" w:cs="仿宋"/>
          <w:color w:val="auto"/>
          <w:sz w:val="32"/>
          <w:szCs w:val="32"/>
          <w:highlight w:val="none"/>
          <w:lang w:val="en-US" w:eastAsia="zh-CN"/>
        </w:rPr>
        <w:t>达到80人年</w:t>
      </w:r>
      <w:r>
        <w:rPr>
          <w:rFonts w:hint="eastAsia" w:ascii="仿宋" w:hAnsi="仿宋" w:eastAsia="仿宋" w:cs="仿宋"/>
          <w:color w:val="auto"/>
          <w:sz w:val="32"/>
          <w:szCs w:val="32"/>
          <w:highlight w:val="none"/>
        </w:rPr>
        <w:t>。</w:t>
      </w:r>
    </w:p>
    <w:p>
      <w:pPr>
        <w:pStyle w:val="15"/>
        <w:ind w:left="0" w:leftChars="0" w:firstLine="643" w:firstLineChars="200"/>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创新生态环境更加优化。</w:t>
      </w:r>
      <w:r>
        <w:rPr>
          <w:rFonts w:hint="eastAsia" w:ascii="仿宋" w:hAnsi="仿宋" w:eastAsia="仿宋" w:cs="仿宋"/>
          <w:color w:val="auto"/>
          <w:sz w:val="32"/>
          <w:szCs w:val="32"/>
          <w:highlight w:val="none"/>
        </w:rPr>
        <w:t>制度环境和政策环境持续优化，协同创新更加高效，融入长三角区域一体化更加紧密，知识产权保护机制更加健全，政府职能从经济型向公共服务型转变，人才服务体系更加完善，科技金融支持力度进一步加大。全社会基本形成尊重知识、崇尚创新、激励创业、包容多元、宽容失败的价值导向和社会氛围。建成国家级科技企业孵化器、众创空间、星创天地10个，科技企业孵化器面积达60万平方米。</w:t>
      </w:r>
    </w:p>
    <w:p>
      <w:pPr>
        <w:spacing w:before="156" w:beforeLines="50" w:line="480" w:lineRule="auto"/>
        <w:jc w:val="center"/>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2025年全市科技创新主要发展目标</w:t>
      </w:r>
    </w:p>
    <w:tbl>
      <w:tblPr>
        <w:tblStyle w:val="11"/>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710"/>
        <w:gridCol w:w="1461"/>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5"/>
              <w:spacing w:line="360" w:lineRule="auto"/>
              <w:ind w:firstLine="0" w:firstLineChars="0"/>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序号</w:t>
            </w:r>
          </w:p>
        </w:tc>
        <w:tc>
          <w:tcPr>
            <w:tcW w:w="4710" w:type="dxa"/>
            <w:vAlign w:val="center"/>
          </w:tcPr>
          <w:p>
            <w:pPr>
              <w:pStyle w:val="15"/>
              <w:spacing w:line="360" w:lineRule="auto"/>
              <w:ind w:firstLine="0" w:firstLineChars="0"/>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指标</w:t>
            </w:r>
          </w:p>
        </w:tc>
        <w:tc>
          <w:tcPr>
            <w:tcW w:w="1461" w:type="dxa"/>
            <w:vAlign w:val="center"/>
          </w:tcPr>
          <w:p>
            <w:pPr>
              <w:pStyle w:val="15"/>
              <w:ind w:firstLine="0" w:firstLineChars="0"/>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2020年</w:t>
            </w:r>
          </w:p>
        </w:tc>
        <w:tc>
          <w:tcPr>
            <w:tcW w:w="1461" w:type="dxa"/>
            <w:vAlign w:val="center"/>
          </w:tcPr>
          <w:p>
            <w:pPr>
              <w:pStyle w:val="15"/>
              <w:spacing w:line="360" w:lineRule="auto"/>
              <w:ind w:firstLine="0" w:firstLineChars="0"/>
              <w:jc w:val="center"/>
              <w:rPr>
                <w:rFonts w:hint="eastAsia" w:ascii="黑体" w:hAnsi="黑体" w:eastAsia="黑体" w:cs="黑体"/>
                <w:b/>
                <w:bCs/>
                <w:color w:val="auto"/>
                <w:kern w:val="0"/>
                <w:sz w:val="24"/>
                <w:szCs w:val="24"/>
                <w:highlight w:val="none"/>
              </w:rPr>
            </w:pPr>
            <w:r>
              <w:rPr>
                <w:rFonts w:hint="eastAsia" w:ascii="黑体" w:hAnsi="黑体" w:eastAsia="黑体" w:cs="黑体"/>
                <w:b/>
                <w:bCs/>
                <w:color w:val="auto"/>
                <w:kern w:val="0"/>
                <w:sz w:val="24"/>
                <w:szCs w:val="24"/>
                <w:highlight w:val="none"/>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4"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4710" w:type="dxa"/>
            <w:vAlign w:val="center"/>
          </w:tcPr>
          <w:p>
            <w:pPr>
              <w:pStyle w:val="15"/>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研究与试验发展（R&amp;D）经费投入年均增长率（%）</w:t>
            </w:r>
          </w:p>
        </w:tc>
        <w:tc>
          <w:tcPr>
            <w:tcW w:w="1461"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461"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4710" w:type="dxa"/>
            <w:vAlign w:val="center"/>
          </w:tcPr>
          <w:p>
            <w:pPr>
              <w:pStyle w:val="15"/>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基础研究经费投入占全社会研发经费投入的比重（%）</w:t>
            </w:r>
          </w:p>
        </w:tc>
        <w:tc>
          <w:tcPr>
            <w:tcW w:w="1461"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5.46</w:t>
            </w:r>
          </w:p>
        </w:tc>
        <w:tc>
          <w:tcPr>
            <w:tcW w:w="1461" w:type="dxa"/>
            <w:vAlign w:val="center"/>
          </w:tcPr>
          <w:p>
            <w:pPr>
              <w:pStyle w:val="15"/>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全省前五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04" w:type="dxa"/>
            <w:vAlign w:val="center"/>
          </w:tcPr>
          <w:p>
            <w:pPr>
              <w:pStyle w:val="15"/>
              <w:spacing w:line="360" w:lineRule="auto"/>
              <w:ind w:firstLine="0" w:firstLineChars="0"/>
              <w:jc w:val="center"/>
              <w:rPr>
                <w:rFonts w:hint="eastAsia" w:ascii="仿宋" w:hAnsi="仿宋" w:eastAsia="仿宋" w:cs="仿宋"/>
                <w:strike/>
                <w:color w:val="auto"/>
                <w:kern w:val="0"/>
                <w:sz w:val="24"/>
                <w:szCs w:val="24"/>
                <w:highlight w:val="none"/>
              </w:rPr>
            </w:pPr>
            <w:r>
              <w:rPr>
                <w:rFonts w:hint="eastAsia" w:ascii="仿宋" w:hAnsi="仿宋" w:eastAsia="仿宋" w:cs="仿宋"/>
                <w:color w:val="auto"/>
                <w:kern w:val="0"/>
                <w:sz w:val="24"/>
                <w:szCs w:val="24"/>
                <w:highlight w:val="none"/>
              </w:rPr>
              <w:t>3</w:t>
            </w:r>
          </w:p>
        </w:tc>
        <w:tc>
          <w:tcPr>
            <w:tcW w:w="4710" w:type="dxa"/>
            <w:vAlign w:val="center"/>
          </w:tcPr>
          <w:p>
            <w:pPr>
              <w:pStyle w:val="15"/>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每万就业人口中从事R&amp;D活动人员（人年）</w:t>
            </w:r>
          </w:p>
        </w:tc>
        <w:tc>
          <w:tcPr>
            <w:tcW w:w="1461"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74.9</w:t>
            </w:r>
          </w:p>
        </w:tc>
        <w:tc>
          <w:tcPr>
            <w:tcW w:w="1461" w:type="dxa"/>
            <w:vAlign w:val="center"/>
          </w:tcPr>
          <w:p>
            <w:pPr>
              <w:pStyle w:val="15"/>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4"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4710" w:type="dxa"/>
            <w:vAlign w:val="center"/>
          </w:tcPr>
          <w:p>
            <w:pPr>
              <w:pStyle w:val="15"/>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高新技术产业增加值年均增幅（%）</w:t>
            </w:r>
          </w:p>
        </w:tc>
        <w:tc>
          <w:tcPr>
            <w:tcW w:w="1461"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15.4</w:t>
            </w:r>
          </w:p>
        </w:tc>
        <w:tc>
          <w:tcPr>
            <w:tcW w:w="1461"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04"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4710" w:type="dxa"/>
            <w:vAlign w:val="center"/>
          </w:tcPr>
          <w:p>
            <w:pPr>
              <w:pStyle w:val="15"/>
              <w:spacing w:line="36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高新技术企业数（家）</w:t>
            </w:r>
          </w:p>
        </w:tc>
        <w:tc>
          <w:tcPr>
            <w:tcW w:w="1461"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394</w:t>
            </w:r>
          </w:p>
        </w:tc>
        <w:tc>
          <w:tcPr>
            <w:tcW w:w="1461"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04"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4710" w:type="dxa"/>
            <w:vAlign w:val="center"/>
          </w:tcPr>
          <w:p>
            <w:pPr>
              <w:pStyle w:val="15"/>
              <w:spacing w:line="36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科技型中小企业数（家）</w:t>
            </w:r>
          </w:p>
        </w:tc>
        <w:tc>
          <w:tcPr>
            <w:tcW w:w="1461"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295</w:t>
            </w:r>
          </w:p>
        </w:tc>
        <w:tc>
          <w:tcPr>
            <w:tcW w:w="1461"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4710" w:type="dxa"/>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规模以上工业企业研发投入占企业主营业务收入的比重（%）</w:t>
            </w:r>
          </w:p>
        </w:tc>
        <w:tc>
          <w:tcPr>
            <w:tcW w:w="1461"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1.70</w:t>
            </w:r>
          </w:p>
        </w:tc>
        <w:tc>
          <w:tcPr>
            <w:tcW w:w="1461" w:type="dxa"/>
            <w:vAlign w:val="center"/>
          </w:tcPr>
          <w:p>
            <w:pPr>
              <w:pStyle w:val="15"/>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4710" w:type="dxa"/>
            <w:vAlign w:val="center"/>
          </w:tcPr>
          <w:p>
            <w:pPr>
              <w:pStyle w:val="15"/>
              <w:spacing w:line="36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每万人高价值发明专利拥有量（件）</w:t>
            </w:r>
          </w:p>
        </w:tc>
        <w:tc>
          <w:tcPr>
            <w:tcW w:w="1461"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5.8</w:t>
            </w:r>
          </w:p>
        </w:tc>
        <w:tc>
          <w:tcPr>
            <w:tcW w:w="1461" w:type="dxa"/>
            <w:vAlign w:val="center"/>
          </w:tcPr>
          <w:p>
            <w:pPr>
              <w:pStyle w:val="15"/>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高于全省平均水平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4"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4710" w:type="dxa"/>
            <w:vAlign w:val="center"/>
          </w:tcPr>
          <w:p>
            <w:pPr>
              <w:pStyle w:val="15"/>
              <w:spacing w:line="36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公民具备科学素质的比例(%)</w:t>
            </w:r>
          </w:p>
        </w:tc>
        <w:tc>
          <w:tcPr>
            <w:tcW w:w="1461" w:type="dxa"/>
            <w:vAlign w:val="center"/>
          </w:tcPr>
          <w:p>
            <w:pPr>
              <w:pStyle w:val="15"/>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10.5</w:t>
            </w:r>
          </w:p>
        </w:tc>
        <w:tc>
          <w:tcPr>
            <w:tcW w:w="1461" w:type="dxa"/>
            <w:vAlign w:val="center"/>
          </w:tcPr>
          <w:p>
            <w:pPr>
              <w:pStyle w:val="15"/>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全省前列</w:t>
            </w:r>
          </w:p>
        </w:tc>
      </w:tr>
    </w:tbl>
    <w:p>
      <w:pPr>
        <w:pStyle w:val="4"/>
        <w:rPr>
          <w:color w:val="auto"/>
          <w:highlight w:val="none"/>
        </w:rPr>
      </w:pPr>
      <w:bookmarkStart w:id="93" w:name="_Toc305"/>
      <w:bookmarkStart w:id="94" w:name="_Toc5427"/>
      <w:bookmarkStart w:id="95" w:name="_Toc3013"/>
      <w:bookmarkStart w:id="96" w:name="_Toc73005643"/>
      <w:bookmarkStart w:id="97" w:name="_Toc17760"/>
      <w:bookmarkStart w:id="98" w:name="_Toc25934"/>
      <w:bookmarkStart w:id="99" w:name="_Toc17207"/>
      <w:bookmarkStart w:id="100" w:name="_Toc8552"/>
      <w:bookmarkStart w:id="101" w:name="_Toc3722"/>
      <w:bookmarkStart w:id="102" w:name="_Toc30507"/>
      <w:bookmarkStart w:id="103" w:name="_Toc14221"/>
      <w:bookmarkStart w:id="104" w:name="_Toc26517"/>
    </w:p>
    <w:p>
      <w:pPr>
        <w:pStyle w:val="15"/>
        <w:numPr>
          <w:ilvl w:val="0"/>
          <w:numId w:val="0"/>
        </w:numPr>
        <w:ind w:leftChars="0"/>
        <w:jc w:val="center"/>
        <w:outlineLvl w:val="0"/>
        <w:rPr>
          <w:rFonts w:hint="eastAsia" w:ascii="黑体" w:hAnsi="黑体" w:eastAsia="黑体" w:cs="黑体"/>
          <w:bCs/>
          <w:color w:val="auto"/>
          <w:sz w:val="36"/>
          <w:szCs w:val="36"/>
          <w:highlight w:val="none"/>
        </w:rPr>
      </w:pPr>
      <w:bookmarkStart w:id="105" w:name="_Toc100851636"/>
      <w:r>
        <w:rPr>
          <w:rFonts w:hint="eastAsia" w:ascii="黑体" w:hAnsi="黑体" w:eastAsia="黑体" w:cs="黑体"/>
          <w:bCs/>
          <w:color w:val="auto"/>
          <w:sz w:val="36"/>
          <w:szCs w:val="36"/>
          <w:highlight w:val="none"/>
          <w:lang w:val="en-US" w:eastAsia="zh-CN"/>
        </w:rPr>
        <w:t xml:space="preserve">第三章 </w:t>
      </w:r>
      <w:r>
        <w:rPr>
          <w:rFonts w:hint="eastAsia" w:ascii="黑体" w:hAnsi="黑体" w:eastAsia="黑体" w:cs="黑体"/>
          <w:bCs/>
          <w:color w:val="auto"/>
          <w:sz w:val="36"/>
          <w:szCs w:val="36"/>
          <w:highlight w:val="none"/>
        </w:rPr>
        <w:t>主要任务</w:t>
      </w:r>
      <w:bookmarkEnd w:id="93"/>
      <w:bookmarkEnd w:id="94"/>
      <w:bookmarkEnd w:id="95"/>
      <w:bookmarkEnd w:id="96"/>
      <w:bookmarkEnd w:id="97"/>
      <w:bookmarkEnd w:id="98"/>
      <w:bookmarkEnd w:id="99"/>
      <w:bookmarkEnd w:id="100"/>
      <w:bookmarkEnd w:id="101"/>
      <w:bookmarkEnd w:id="102"/>
      <w:bookmarkEnd w:id="103"/>
      <w:bookmarkEnd w:id="104"/>
      <w:bookmarkEnd w:id="105"/>
    </w:p>
    <w:p>
      <w:pPr>
        <w:numPr>
          <w:ilvl w:val="255"/>
          <w:numId w:val="0"/>
        </w:numPr>
        <w:adjustRightInd w:val="0"/>
        <w:snapToGrid w:val="0"/>
        <w:ind w:firstLine="640" w:firstLineChars="200"/>
        <w:outlineLvl w:val="1"/>
        <w:rPr>
          <w:rFonts w:hint="eastAsia" w:ascii="方正楷体简体" w:hAnsi="方正楷体简体" w:eastAsia="方正楷体简体" w:cs="方正楷体简体"/>
          <w:bCs/>
          <w:color w:val="auto"/>
          <w:sz w:val="32"/>
          <w:szCs w:val="32"/>
          <w:highlight w:val="none"/>
        </w:rPr>
      </w:pPr>
      <w:bookmarkStart w:id="106" w:name="_Toc32742"/>
      <w:bookmarkStart w:id="107" w:name="_Toc14338"/>
      <w:bookmarkStart w:id="108" w:name="_Toc22788"/>
      <w:bookmarkStart w:id="109" w:name="_Toc26641"/>
      <w:bookmarkStart w:id="110" w:name="_Toc26572"/>
      <w:bookmarkStart w:id="111" w:name="_Toc6451"/>
      <w:bookmarkStart w:id="112" w:name="_Toc29782"/>
      <w:bookmarkStart w:id="113" w:name="_Toc8950"/>
      <w:bookmarkStart w:id="114" w:name="_Toc158"/>
      <w:bookmarkStart w:id="115" w:name="_Toc73005644"/>
      <w:bookmarkStart w:id="116" w:name="_Toc100851637"/>
      <w:bookmarkStart w:id="117" w:name="_Toc31862"/>
      <w:bookmarkStart w:id="118" w:name="_Toc17889"/>
    </w:p>
    <w:p>
      <w:pPr>
        <w:keepNext w:val="0"/>
        <w:keepLines w:val="0"/>
        <w:pageBreakBefore w:val="0"/>
        <w:widowControl w:val="0"/>
        <w:numPr>
          <w:ilvl w:val="255"/>
          <w:numId w:val="0"/>
        </w:numPr>
        <w:kinsoku/>
        <w:wordWrap/>
        <w:overflowPunct/>
        <w:topLinePunct w:val="0"/>
        <w:autoSpaceDE/>
        <w:autoSpaceDN/>
        <w:bidi w:val="0"/>
        <w:adjustRightInd w:val="0"/>
        <w:snapToGrid w:val="0"/>
        <w:ind w:firstLine="640" w:firstLineChars="200"/>
        <w:textAlignment w:val="auto"/>
        <w:outlineLvl w:val="1"/>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第一节 建设科创攻坚力量体系，打造科技创新策源地</w:t>
      </w:r>
      <w:bookmarkEnd w:id="106"/>
      <w:bookmarkEnd w:id="107"/>
      <w:bookmarkEnd w:id="108"/>
      <w:bookmarkEnd w:id="109"/>
      <w:bookmarkEnd w:id="110"/>
      <w:bookmarkEnd w:id="111"/>
      <w:bookmarkEnd w:id="112"/>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坚持创新在现代化建设全局中的核心地位，坚持“四个面向”，把科技自立自强作为跨越发展的战略支撑，着力构建符合蚌埠实际、体现蚌埠特色、彰显蚌埠优势的科技创新攻坚力量体系，打造皖北地区和淮河生态经济带具有重要影响力的科技创新策源地。</w:t>
      </w:r>
    </w:p>
    <w:p>
      <w:pPr>
        <w:pStyle w:val="15"/>
        <w:keepNext w:val="0"/>
        <w:keepLines w:val="0"/>
        <w:pageBreakBefore w:val="0"/>
        <w:widowControl w:val="0"/>
        <w:kinsoku/>
        <w:wordWrap/>
        <w:overflowPunct/>
        <w:topLinePunct w:val="0"/>
        <w:autoSpaceDE/>
        <w:autoSpaceDN/>
        <w:bidi w:val="0"/>
        <w:ind w:left="482" w:firstLine="0" w:firstLineChars="0"/>
        <w:textAlignment w:val="auto"/>
        <w:outlineLvl w:val="2"/>
        <w:rPr>
          <w:rFonts w:hint="eastAsia" w:ascii="仿宋" w:hAnsi="仿宋" w:eastAsia="仿宋" w:cs="仿宋"/>
          <w:b/>
          <w:color w:val="auto"/>
          <w:sz w:val="32"/>
          <w:szCs w:val="32"/>
          <w:highlight w:val="none"/>
        </w:rPr>
      </w:pPr>
      <w:bookmarkStart w:id="119" w:name="_Toc100851638"/>
      <w:bookmarkStart w:id="120" w:name="_Toc26755"/>
      <w:bookmarkStart w:id="121" w:name="_Toc27703"/>
      <w:bookmarkStart w:id="122" w:name="_Toc28356"/>
      <w:bookmarkStart w:id="123" w:name="_Toc26358"/>
      <w:bookmarkStart w:id="124" w:name="_Toc73005645"/>
      <w:bookmarkStart w:id="125" w:name="_Toc25653"/>
      <w:bookmarkStart w:id="126" w:name="_Toc32076"/>
      <w:bookmarkStart w:id="127" w:name="_Toc14007"/>
      <w:bookmarkStart w:id="128" w:name="_Toc25746"/>
      <w:bookmarkStart w:id="129" w:name="_Toc30629"/>
      <w:bookmarkStart w:id="130" w:name="_Toc9084"/>
      <w:bookmarkStart w:id="131" w:name="_Toc14659"/>
      <w:r>
        <w:rPr>
          <w:rFonts w:hint="eastAsia" w:ascii="仿宋" w:hAnsi="仿宋" w:eastAsia="仿宋" w:cs="仿宋"/>
          <w:b/>
          <w:color w:val="auto"/>
          <w:sz w:val="32"/>
          <w:szCs w:val="32"/>
          <w:highlight w:val="none"/>
        </w:rPr>
        <w:t>（一）打好核心技术攻坚战</w:t>
      </w:r>
      <w:bookmarkEnd w:id="119"/>
    </w:p>
    <w:p>
      <w:pPr>
        <w:keepNext w:val="0"/>
        <w:keepLines w:val="0"/>
        <w:pageBreakBefore w:val="0"/>
        <w:widowControl w:val="0"/>
        <w:kinsoku/>
        <w:wordWrap/>
        <w:overflowPunct/>
        <w:topLinePunct w:val="0"/>
        <w:autoSpaceDE/>
        <w:autoSpaceDN/>
        <w:bidi w:val="0"/>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1.加强应用基础研究。</w:t>
      </w:r>
      <w:r>
        <w:rPr>
          <w:rFonts w:hint="eastAsia" w:ascii="仿宋" w:hAnsi="仿宋" w:eastAsia="仿宋" w:cs="仿宋"/>
          <w:color w:val="auto"/>
          <w:sz w:val="32"/>
          <w:szCs w:val="32"/>
          <w:highlight w:val="none"/>
        </w:rPr>
        <w:t>坚持把原始创新摆在更加突出的位置，面向基础前沿，遵循科学规律，重点部署以应用为导向的基础研究。贯彻落实国家基础研究十年行动方案和省实施方案工作部署，依托浮法玻璃新技术国家重点实验室、硅基材料安徽省实验室、微电子机械系统（MEMS）国家地方联合工程实验室等原创创新平台，鼓励驻蚌高校、科研院所和龙头骨干企业开展应用基础研究，努力产出更多“从0到1”原创性创新成果。</w:t>
      </w:r>
    </w:p>
    <w:p>
      <w:pPr>
        <w:keepNext w:val="0"/>
        <w:keepLines w:val="0"/>
        <w:pageBreakBefore w:val="0"/>
        <w:widowControl w:val="0"/>
        <w:kinsoku/>
        <w:wordWrap/>
        <w:overflowPunct/>
        <w:topLinePunct w:val="0"/>
        <w:autoSpaceDE/>
        <w:autoSpaceDN/>
        <w:bidi w:val="0"/>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2.实施核心技术攻关计划。</w:t>
      </w:r>
      <w:r>
        <w:rPr>
          <w:rFonts w:hint="eastAsia" w:ascii="仿宋" w:hAnsi="仿宋" w:eastAsia="仿宋" w:cs="仿宋"/>
          <w:color w:val="auto"/>
          <w:sz w:val="32"/>
          <w:szCs w:val="32"/>
          <w:highlight w:val="none"/>
        </w:rPr>
        <w:t>围绕制约我市经济社会高质量发展的技术瓶颈，聚焦主导产业、乡村振兴、人民生活品质提升，着力突破“基础材料、基础零部件、基础公益、基础装备、基础软件”等一批关键核心技术，加快实现科技自立自强。贯彻落实省扩容升级科技创新“攻尖”计划，积极争取国家和省科技重大专项和重点研发项目在蚌落地。实施市级科技攻关专项，进一步拓展“企业出题、政府立题、高校解题、市场阅卷”为特色的政产学研技术攻关模式，帮助企业攻克技术难题。到2025年，攻克一批阻碍产业发展的关键核心技术，布局一批高价值发明专利，研制一批重大战略创新产品。</w:t>
      </w:r>
    </w:p>
    <w:p>
      <w:pPr>
        <w:keepNext w:val="0"/>
        <w:keepLines w:val="0"/>
        <w:pageBreakBefore w:val="0"/>
        <w:widowControl w:val="0"/>
        <w:kinsoku/>
        <w:wordWrap/>
        <w:overflowPunct/>
        <w:topLinePunct w:val="0"/>
        <w:autoSpaceDE/>
        <w:autoSpaceDN/>
        <w:bidi w:val="0"/>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3.探索“揭榜挂帅”攻坚机制。</w:t>
      </w:r>
      <w:r>
        <w:rPr>
          <w:rFonts w:hint="eastAsia" w:ascii="仿宋" w:hAnsi="仿宋" w:eastAsia="仿宋" w:cs="仿宋"/>
          <w:color w:val="auto"/>
          <w:sz w:val="32"/>
          <w:szCs w:val="32"/>
          <w:highlight w:val="none"/>
        </w:rPr>
        <w:t>围绕硅基、生物基新材料、新一代信息技术、高端装备制造等主导产业发展，聚焦产业“卡脖子”领域，以产业重大共性关键技术突破、重大技术难题解决、重大创新产品研发和重大科技成果转化示范为重点，遴选一批重大项目，在全国范围内具有研发实力的高校、科研机构和各类创新联合体招募揭榜者。细化榜单征集、榜单对接、揭榜定帅、项目签约、经费管理、项目结题验收等机制，突出能者挂帅，充分利用全国范围的科技资源，攻克制约产业发展的关键核心技术难题。</w:t>
      </w:r>
    </w:p>
    <w:p>
      <w:pPr>
        <w:pStyle w:val="15"/>
        <w:keepNext w:val="0"/>
        <w:keepLines w:val="0"/>
        <w:pageBreakBefore w:val="0"/>
        <w:widowControl w:val="0"/>
        <w:numPr>
          <w:ilvl w:val="255"/>
          <w:numId w:val="0"/>
        </w:numPr>
        <w:kinsoku/>
        <w:wordWrap/>
        <w:overflowPunct/>
        <w:topLinePunct w:val="0"/>
        <w:autoSpaceDE/>
        <w:autoSpaceDN/>
        <w:bidi w:val="0"/>
        <w:ind w:firstLine="643" w:firstLineChars="200"/>
        <w:textAlignment w:val="auto"/>
        <w:outlineLvl w:val="2"/>
        <w:rPr>
          <w:rFonts w:hint="eastAsia" w:ascii="仿宋" w:hAnsi="仿宋" w:eastAsia="仿宋" w:cs="仿宋"/>
          <w:b/>
          <w:color w:val="auto"/>
          <w:sz w:val="32"/>
          <w:szCs w:val="32"/>
          <w:highlight w:val="none"/>
        </w:rPr>
      </w:pPr>
      <w:bookmarkStart w:id="132" w:name="_Toc100851639"/>
      <w:r>
        <w:rPr>
          <w:rFonts w:hint="eastAsia" w:ascii="仿宋" w:hAnsi="仿宋" w:eastAsia="仿宋" w:cs="仿宋"/>
          <w:b/>
          <w:color w:val="auto"/>
          <w:sz w:val="32"/>
          <w:szCs w:val="32"/>
          <w:highlight w:val="none"/>
        </w:rPr>
        <w:t>（二）建强重大创新平台</w:t>
      </w:r>
      <w:bookmarkEnd w:id="120"/>
      <w:bookmarkEnd w:id="121"/>
      <w:bookmarkEnd w:id="122"/>
      <w:bookmarkEnd w:id="123"/>
      <w:bookmarkEnd w:id="124"/>
      <w:bookmarkEnd w:id="125"/>
      <w:bookmarkEnd w:id="126"/>
      <w:bookmarkEnd w:id="127"/>
      <w:bookmarkEnd w:id="128"/>
      <w:bookmarkEnd w:id="129"/>
      <w:bookmarkEnd w:id="130"/>
      <w:bookmarkEnd w:id="131"/>
      <w:bookmarkEnd w:id="132"/>
    </w:p>
    <w:p>
      <w:pPr>
        <w:keepNext w:val="0"/>
        <w:keepLines w:val="0"/>
        <w:pageBreakBefore w:val="0"/>
        <w:widowControl w:val="0"/>
        <w:kinsoku/>
        <w:wordWrap/>
        <w:overflowPunct/>
        <w:topLinePunct w:val="0"/>
        <w:autoSpaceDE/>
        <w:autoSpaceDN/>
        <w:bidi w:val="0"/>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1.高标准建设原始创新平台。</w:t>
      </w:r>
      <w:r>
        <w:rPr>
          <w:rFonts w:hint="eastAsia" w:ascii="仿宋" w:hAnsi="仿宋" w:eastAsia="仿宋" w:cs="仿宋"/>
          <w:color w:val="auto"/>
          <w:sz w:val="32"/>
          <w:szCs w:val="32"/>
          <w:highlight w:val="none"/>
        </w:rPr>
        <w:t>构建市实验室、省（重点）实验室、国家（重点）实验室梯次实验室培育建设体系，持续推进蚌埠市实验室建设，支持驻蚌高校、科研院所和龙头骨干企业建设安徽省（重点）实验室，培育国家（重点）实验室预备队，积极推进浮法玻璃新技术国家重点实验室进入新一轮重组布局，加快提升硅基材料安徽省实验室、微电子机械系统（MEMS）国家地方联合工程实验室原创创新能力。鼓励有条件的驻蚌高校建设国家级、省级一流学科及基础学科研究中心。积极参与合肥综合性国家科学中心建设，支持蚌埠医学院建设合肥综合性国家科学中心大健康研究院蚌埠分院。</w:t>
      </w:r>
    </w:p>
    <w:p>
      <w:pPr>
        <w:keepNext w:val="0"/>
        <w:keepLines w:val="0"/>
        <w:pageBreakBefore w:val="0"/>
        <w:widowControl w:val="0"/>
        <w:kinsoku/>
        <w:wordWrap/>
        <w:overflowPunct/>
        <w:topLinePunct w:val="0"/>
        <w:autoSpaceDE/>
        <w:autoSpaceDN/>
        <w:bidi w:val="0"/>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2.加快建设产业技术创新平台。</w:t>
      </w:r>
      <w:r>
        <w:rPr>
          <w:rFonts w:hint="eastAsia" w:ascii="仿宋" w:hAnsi="仿宋" w:eastAsia="仿宋" w:cs="仿宋"/>
          <w:color w:val="auto"/>
          <w:sz w:val="32"/>
          <w:szCs w:val="32"/>
          <w:highlight w:val="none"/>
        </w:rPr>
        <w:t>围绕重点产业发展方向和技术需求，加大招才引智、资源整合和财政支持力度，鼓励企业和高校院所联合或自主建设一批国家级、省级技术创新中心、产业创新中心、制造业创新中心等高水平产业技术创新平台。加快生物基可降解材料安徽省技术创新中心、硅基新材料省制造业创新中心等建设。发挥国家玻璃新材料制造业创新中心作用，形成跨领域、小核心、大协作的创新基地，打造世界一流的玻璃新材料协同创新平台。鼓励丰原集团联合中国科技大学等高校院所创建国家生物基聚合材料产业创新中心，支持中国兵器214所联合国内优势单位创建国家智能传感器技术创新中心。</w:t>
      </w:r>
    </w:p>
    <w:p>
      <w:pPr>
        <w:keepNext w:val="0"/>
        <w:keepLines w:val="0"/>
        <w:pageBreakBefore w:val="0"/>
        <w:widowControl w:val="0"/>
        <w:kinsoku/>
        <w:wordWrap/>
        <w:overflowPunct/>
        <w:topLinePunct w:val="0"/>
        <w:autoSpaceDE/>
        <w:autoSpaceDN/>
        <w:bidi w:val="0"/>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3.</w:t>
      </w:r>
      <w:bookmarkStart w:id="133" w:name="_Hlk98115054"/>
      <w:r>
        <w:rPr>
          <w:rFonts w:hint="eastAsia" w:ascii="仿宋" w:hAnsi="仿宋" w:eastAsia="仿宋" w:cs="仿宋"/>
          <w:b/>
          <w:color w:val="auto"/>
          <w:sz w:val="32"/>
          <w:szCs w:val="32"/>
          <w:highlight w:val="none"/>
        </w:rPr>
        <w:t>加快建设新型研发机构</w:t>
      </w:r>
      <w:bookmarkEnd w:id="133"/>
      <w:r>
        <w:rPr>
          <w:rFonts w:hint="eastAsia" w:ascii="仿宋" w:hAnsi="仿宋" w:eastAsia="仿宋" w:cs="仿宋"/>
          <w:b/>
          <w:color w:val="auto"/>
          <w:sz w:val="32"/>
          <w:szCs w:val="32"/>
          <w:highlight w:val="none"/>
        </w:rPr>
        <w:t>。</w:t>
      </w:r>
      <w:r>
        <w:rPr>
          <w:rFonts w:hint="eastAsia" w:ascii="仿宋" w:hAnsi="仿宋" w:eastAsia="仿宋" w:cs="仿宋"/>
          <w:color w:val="auto"/>
          <w:sz w:val="32"/>
          <w:szCs w:val="32"/>
          <w:highlight w:val="none"/>
        </w:rPr>
        <w:t>以政府为引导，建立“多元化投入、企业化管理、市场化运行、开放式发展”的运行机制，加快建设一批新型研发机构。强化行业龙头企业的垂直整合能力，联合高校院所、产业链上下游中小企业，牵头建设以共同利益为纽带、以市场机制为保障的任务型创新联合体，建立产学研合作利益分配机制、风险控制机制和信用约束机制，共同承担实施重大科技项目。加强与产业发展直接相关的关键核心技术研发，推动企业从市场应用型创新向前沿技术推动型创新转变。加强大院大所合作，积极引导国内知名高校和科研院所来蚌共建产业技术研究院。</w:t>
      </w:r>
      <w:bookmarkStart w:id="134" w:name="_Hlk98118227"/>
      <w:r>
        <w:rPr>
          <w:rFonts w:hint="eastAsia" w:ascii="仿宋" w:hAnsi="仿宋" w:eastAsia="仿宋" w:cs="仿宋"/>
          <w:color w:val="auto"/>
          <w:sz w:val="32"/>
          <w:szCs w:val="32"/>
          <w:highlight w:val="none"/>
        </w:rPr>
        <w:t>引导新型研发机构建立紧扣产业实际需求的研发模式和市场化弹性用人机制。完善新型研发机构财政经费支持政策和机制。</w:t>
      </w:r>
      <w:bookmarkEnd w:id="134"/>
    </w:p>
    <w:p>
      <w:pPr>
        <w:pStyle w:val="15"/>
        <w:keepNext w:val="0"/>
        <w:keepLines w:val="0"/>
        <w:pageBreakBefore w:val="0"/>
        <w:widowControl w:val="0"/>
        <w:kinsoku/>
        <w:wordWrap/>
        <w:overflowPunct/>
        <w:topLinePunct w:val="0"/>
        <w:autoSpaceDE/>
        <w:autoSpaceDN/>
        <w:bidi w:val="0"/>
        <w:ind w:left="482" w:firstLine="0" w:firstLineChars="0"/>
        <w:textAlignment w:val="auto"/>
        <w:outlineLvl w:val="2"/>
        <w:rPr>
          <w:rFonts w:hint="eastAsia" w:ascii="仿宋" w:hAnsi="仿宋" w:eastAsia="仿宋" w:cs="仿宋"/>
          <w:b/>
          <w:color w:val="auto"/>
          <w:sz w:val="32"/>
          <w:szCs w:val="32"/>
          <w:highlight w:val="none"/>
        </w:rPr>
      </w:pPr>
      <w:bookmarkStart w:id="135" w:name="_Toc2218"/>
      <w:bookmarkStart w:id="136" w:name="_Toc31762"/>
      <w:bookmarkStart w:id="137" w:name="_Toc29814"/>
      <w:bookmarkStart w:id="138" w:name="_Toc24305"/>
      <w:bookmarkStart w:id="139" w:name="_Toc12921"/>
      <w:bookmarkStart w:id="140" w:name="_Toc32280"/>
      <w:bookmarkStart w:id="141" w:name="_Toc30958"/>
      <w:bookmarkStart w:id="142" w:name="_Toc26842"/>
      <w:bookmarkStart w:id="143" w:name="_Toc26007"/>
      <w:bookmarkStart w:id="144" w:name="_Toc17392"/>
      <w:bookmarkStart w:id="145" w:name="_Toc5064"/>
      <w:bookmarkStart w:id="146" w:name="_Toc73005647"/>
      <w:bookmarkStart w:id="147" w:name="_Toc100851640"/>
      <w:bookmarkStart w:id="148" w:name="_Hlk70031252"/>
      <w:r>
        <w:rPr>
          <w:rFonts w:hint="eastAsia" w:ascii="仿宋" w:hAnsi="仿宋" w:eastAsia="仿宋" w:cs="仿宋"/>
          <w:b/>
          <w:color w:val="auto"/>
          <w:sz w:val="32"/>
          <w:szCs w:val="32"/>
          <w:highlight w:val="none"/>
        </w:rPr>
        <w:t>（三）壮大创新型企业</w:t>
      </w:r>
      <w:bookmarkEnd w:id="135"/>
      <w:bookmarkEnd w:id="136"/>
      <w:bookmarkEnd w:id="137"/>
      <w:bookmarkEnd w:id="138"/>
      <w:bookmarkEnd w:id="139"/>
      <w:bookmarkEnd w:id="140"/>
      <w:bookmarkEnd w:id="141"/>
      <w:bookmarkEnd w:id="142"/>
      <w:bookmarkEnd w:id="143"/>
      <w:bookmarkEnd w:id="144"/>
      <w:bookmarkEnd w:id="145"/>
      <w:bookmarkEnd w:id="146"/>
      <w:r>
        <w:rPr>
          <w:rFonts w:hint="eastAsia" w:ascii="仿宋" w:hAnsi="仿宋" w:eastAsia="仿宋" w:cs="仿宋"/>
          <w:b/>
          <w:color w:val="auto"/>
          <w:sz w:val="32"/>
          <w:szCs w:val="32"/>
          <w:highlight w:val="none"/>
        </w:rPr>
        <w:t>队伍</w:t>
      </w:r>
      <w:bookmarkEnd w:id="147"/>
    </w:p>
    <w:bookmarkEnd w:id="148"/>
    <w:p>
      <w:pPr>
        <w:keepNext w:val="0"/>
        <w:keepLines w:val="0"/>
        <w:pageBreakBefore w:val="0"/>
        <w:widowControl w:val="0"/>
        <w:kinsoku/>
        <w:wordWrap/>
        <w:overflowPunct/>
        <w:topLinePunct w:val="0"/>
        <w:autoSpaceDE/>
        <w:autoSpaceDN/>
        <w:bidi w:val="0"/>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1.实施高成长领军企业培育工程。</w:t>
      </w:r>
      <w:r>
        <w:rPr>
          <w:rFonts w:hint="eastAsia" w:ascii="仿宋" w:hAnsi="仿宋" w:eastAsia="仿宋" w:cs="仿宋"/>
          <w:color w:val="auto"/>
          <w:sz w:val="32"/>
          <w:szCs w:val="32"/>
          <w:highlight w:val="none"/>
        </w:rPr>
        <w:t>围绕主导产业和六大新兴产业，支持企业技术创新、实施并购重组、扩张先进产能、提升品牌质量。积极引进一批投资规模大、科技含量高、税收贡献大的龙头企业。通过“培育股改一批、辅导备案一批、申报再审一批、上市发行一批”，有序推进企业上市。按照“双创—高成长小微—规上企业—专精特新—省专精特新冠军—国家专精特新小巨人”梯度培育路径，大力培育专精特新企业。</w:t>
      </w:r>
    </w:p>
    <w:p>
      <w:pPr>
        <w:keepNext w:val="0"/>
        <w:keepLines w:val="0"/>
        <w:pageBreakBefore w:val="0"/>
        <w:widowControl w:val="0"/>
        <w:kinsoku/>
        <w:wordWrap/>
        <w:overflowPunct/>
        <w:topLinePunct w:val="0"/>
        <w:autoSpaceDE/>
        <w:autoSpaceDN/>
        <w:bidi w:val="0"/>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2.壮大高新技术企业队伍。</w:t>
      </w:r>
      <w:r>
        <w:rPr>
          <w:rFonts w:hint="eastAsia" w:ascii="仿宋" w:hAnsi="仿宋" w:eastAsia="仿宋" w:cs="仿宋"/>
          <w:color w:val="auto"/>
          <w:sz w:val="32"/>
          <w:szCs w:val="32"/>
          <w:highlight w:val="none"/>
        </w:rPr>
        <w:t>建立层次分明的高新技术企业梯度培育体系，对进入高新技术企业培育库的企业进行重点培育和引导。对通过认定的高新技术企业加大扶持力度，在研发平台建设、创新人才引进、科技成果转化、科技计划项目实施等方面给予倾斜。对即将到期的高新技术企业重点培育辅导，提高其重新认定积极性。落实高新技术企业所得税减免政策，鼓励企业建立研发机构、加大研发投入。到2025年，力争全市高新技术企业数突破1000家。</w:t>
      </w:r>
    </w:p>
    <w:p>
      <w:pPr>
        <w:pStyle w:val="4"/>
        <w:keepNext w:val="0"/>
        <w:keepLines w:val="0"/>
        <w:pageBreakBefore w:val="0"/>
        <w:widowControl w:val="0"/>
        <w:kinsoku/>
        <w:wordWrap/>
        <w:overflowPunct/>
        <w:topLinePunct w:val="0"/>
        <w:autoSpaceDE/>
        <w:autoSpaceDN/>
        <w:bidi w:val="0"/>
        <w:jc w:val="left"/>
        <w:textAlignment w:val="auto"/>
        <w:rPr>
          <w:rFonts w:hint="eastAsia" w:ascii="仿宋" w:hAnsi="仿宋" w:eastAsia="仿宋" w:cs="仿宋"/>
          <w:bCs/>
          <w:color w:val="auto"/>
          <w:sz w:val="32"/>
          <w:szCs w:val="32"/>
          <w:highlight w:val="none"/>
        </w:rPr>
      </w:pPr>
      <w:r>
        <w:rPr>
          <w:rFonts w:hint="eastAsia" w:ascii="仿宋" w:hAnsi="仿宋" w:eastAsia="仿宋" w:cs="仿宋"/>
          <w:b/>
          <w:bCs/>
          <w:color w:val="auto"/>
          <w:sz w:val="32"/>
          <w:szCs w:val="32"/>
          <w:highlight w:val="none"/>
        </w:rPr>
        <w:t xml:space="preserve">    3.发展科技型中小企业。</w:t>
      </w:r>
      <w:r>
        <w:rPr>
          <w:rFonts w:hint="eastAsia" w:ascii="仿宋" w:hAnsi="仿宋" w:eastAsia="仿宋" w:cs="仿宋"/>
          <w:color w:val="auto"/>
          <w:sz w:val="32"/>
          <w:szCs w:val="32"/>
          <w:highlight w:val="none"/>
        </w:rPr>
        <w:t>重点围绕新兴产业领域，加强科技型中小企业信息备案工作。引导科技型中小企业建立研发准备金制度，开展技术、管理和商业模式创新，推进专业化、精细化、特色化发展。支持在各园区建立中小企业公共服务平台，提供投融资对接、检验检测认证、创新管理咨询、人力资源等服务。鼓励科技服务机构重点为科技型中小企业在知识产权、科技成果转化、研发费用归集、科技管理等方面提供精准服务。到2025年，培育具有持续创新能力、拥有自主知识产权的科技型中小企业达到1000家。</w:t>
      </w:r>
      <w:bookmarkStart w:id="149" w:name="_Toc100851641"/>
    </w:p>
    <w:p>
      <w:pPr>
        <w:keepNext w:val="0"/>
        <w:keepLines w:val="0"/>
        <w:pageBreakBefore w:val="0"/>
        <w:widowControl w:val="0"/>
        <w:numPr>
          <w:ilvl w:val="255"/>
          <w:numId w:val="0"/>
        </w:numPr>
        <w:kinsoku/>
        <w:wordWrap/>
        <w:overflowPunct/>
        <w:topLinePunct w:val="0"/>
        <w:autoSpaceDE/>
        <w:autoSpaceDN/>
        <w:bidi w:val="0"/>
        <w:adjustRightInd w:val="0"/>
        <w:snapToGrid w:val="0"/>
        <w:ind w:firstLine="640" w:firstLineChars="200"/>
        <w:textAlignment w:val="auto"/>
        <w:outlineLvl w:val="1"/>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 xml:space="preserve">第二节 </w:t>
      </w:r>
      <w:bookmarkStart w:id="150" w:name="_Toc5277"/>
      <w:bookmarkStart w:id="151" w:name="_Toc10880"/>
      <w:bookmarkStart w:id="152" w:name="_Toc634"/>
      <w:bookmarkStart w:id="153" w:name="_Toc19323"/>
      <w:bookmarkStart w:id="154" w:name="_Toc73005648"/>
      <w:bookmarkStart w:id="155" w:name="_Toc27152"/>
      <w:bookmarkStart w:id="156" w:name="_Toc26047"/>
      <w:bookmarkStart w:id="157" w:name="_Toc15339"/>
      <w:bookmarkStart w:id="158" w:name="_Toc20705"/>
      <w:bookmarkStart w:id="159" w:name="_Toc11625"/>
      <w:bookmarkStart w:id="160" w:name="_Toc13080"/>
      <w:bookmarkStart w:id="161" w:name="_Toc30752"/>
      <w:r>
        <w:rPr>
          <w:rFonts w:hint="eastAsia" w:ascii="楷体" w:hAnsi="楷体" w:eastAsia="楷体" w:cs="楷体"/>
          <w:bCs/>
          <w:color w:val="auto"/>
          <w:sz w:val="32"/>
          <w:szCs w:val="32"/>
          <w:highlight w:val="none"/>
        </w:rPr>
        <w:t>强化产业创新引领支撑，构筑</w:t>
      </w:r>
      <w:bookmarkEnd w:id="150"/>
      <w:bookmarkEnd w:id="151"/>
      <w:bookmarkEnd w:id="152"/>
      <w:bookmarkEnd w:id="153"/>
      <w:bookmarkEnd w:id="154"/>
      <w:bookmarkEnd w:id="155"/>
      <w:bookmarkEnd w:id="156"/>
      <w:bookmarkEnd w:id="157"/>
      <w:bookmarkEnd w:id="158"/>
      <w:bookmarkEnd w:id="159"/>
      <w:bookmarkEnd w:id="160"/>
      <w:bookmarkEnd w:id="161"/>
      <w:r>
        <w:rPr>
          <w:rFonts w:hint="eastAsia" w:ascii="楷体" w:hAnsi="楷体" w:eastAsia="楷体" w:cs="楷体"/>
          <w:bCs/>
          <w:color w:val="auto"/>
          <w:sz w:val="32"/>
          <w:szCs w:val="32"/>
          <w:highlight w:val="none"/>
        </w:rPr>
        <w:t>新兴产业聚集地</w:t>
      </w:r>
      <w:bookmarkEnd w:id="149"/>
    </w:p>
    <w:p>
      <w:pPr>
        <w:keepNext w:val="0"/>
        <w:keepLines w:val="0"/>
        <w:pageBreakBefore w:val="0"/>
        <w:widowControl w:val="0"/>
        <w:kinsoku/>
        <w:wordWrap/>
        <w:overflowPunct/>
        <w:topLinePunct w:val="0"/>
        <w:autoSpaceDE/>
        <w:autoSpaceDN/>
        <w:bidi w:val="0"/>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聚焦新材料、新一代信息技术、高端装备制造、生命健康、现代农业发展，围绕产业链部署创新链，加快突破关键核心技术，持续推进科技成果转化，不断抢占产业发展制高点，为引领产业高质量发展提供有力的科技支撑。</w:t>
      </w:r>
    </w:p>
    <w:p>
      <w:pPr>
        <w:pStyle w:val="15"/>
        <w:keepNext w:val="0"/>
        <w:keepLines w:val="0"/>
        <w:pageBreakBefore w:val="0"/>
        <w:widowControl w:val="0"/>
        <w:numPr>
          <w:ilvl w:val="255"/>
          <w:numId w:val="0"/>
        </w:numPr>
        <w:kinsoku/>
        <w:wordWrap/>
        <w:overflowPunct/>
        <w:topLinePunct w:val="0"/>
        <w:autoSpaceDE/>
        <w:autoSpaceDN/>
        <w:bidi w:val="0"/>
        <w:ind w:left="482"/>
        <w:textAlignment w:val="auto"/>
        <w:outlineLvl w:val="2"/>
        <w:rPr>
          <w:rFonts w:hint="eastAsia" w:ascii="仿宋" w:hAnsi="仿宋" w:eastAsia="仿宋" w:cs="仿宋"/>
          <w:b/>
          <w:color w:val="auto"/>
          <w:sz w:val="32"/>
          <w:szCs w:val="32"/>
          <w:highlight w:val="none"/>
        </w:rPr>
      </w:pPr>
      <w:bookmarkStart w:id="162" w:name="_Toc5760"/>
      <w:bookmarkStart w:id="163" w:name="_Toc23143"/>
      <w:bookmarkStart w:id="164" w:name="_Toc24222"/>
      <w:bookmarkStart w:id="165" w:name="_Toc10905"/>
      <w:bookmarkStart w:id="166" w:name="_Toc9244"/>
      <w:bookmarkStart w:id="167" w:name="_Toc4284"/>
      <w:bookmarkStart w:id="168" w:name="_Toc23587"/>
      <w:bookmarkStart w:id="169" w:name="_Toc1548"/>
      <w:bookmarkStart w:id="170" w:name="_Toc100851642"/>
      <w:bookmarkStart w:id="171" w:name="_Toc14876"/>
      <w:bookmarkStart w:id="172" w:name="_Toc12279"/>
      <w:bookmarkStart w:id="173" w:name="_Toc73005651"/>
      <w:r>
        <w:rPr>
          <w:rFonts w:hint="eastAsia" w:ascii="仿宋" w:hAnsi="仿宋" w:eastAsia="仿宋" w:cs="仿宋"/>
          <w:b/>
          <w:color w:val="auto"/>
          <w:sz w:val="32"/>
          <w:szCs w:val="32"/>
          <w:highlight w:val="none"/>
        </w:rPr>
        <w:t>（一）新材料产业</w:t>
      </w:r>
      <w:bookmarkEnd w:id="162"/>
      <w:bookmarkEnd w:id="163"/>
      <w:bookmarkEnd w:id="164"/>
      <w:bookmarkEnd w:id="165"/>
      <w:bookmarkEnd w:id="166"/>
      <w:bookmarkEnd w:id="167"/>
      <w:bookmarkEnd w:id="168"/>
      <w:bookmarkEnd w:id="169"/>
      <w:bookmarkEnd w:id="170"/>
      <w:bookmarkEnd w:id="171"/>
      <w:bookmarkEnd w:id="172"/>
    </w:p>
    <w:p>
      <w:pPr>
        <w:keepNext w:val="0"/>
        <w:keepLines w:val="0"/>
        <w:pageBreakBefore w:val="0"/>
        <w:widowControl w:val="0"/>
        <w:kinsoku/>
        <w:wordWrap/>
        <w:overflowPunct/>
        <w:topLinePunct w:val="0"/>
        <w:autoSpaceDE/>
        <w:autoSpaceDN/>
        <w:bidi w:val="0"/>
        <w:ind w:firstLine="640" w:firstLineChars="200"/>
        <w:textAlignment w:val="auto"/>
        <w:rPr>
          <w:rFonts w:hint="eastAsia" w:ascii="仿宋" w:hAnsi="仿宋" w:eastAsia="仿宋" w:cs="仿宋"/>
          <w:color w:val="auto"/>
          <w:sz w:val="32"/>
          <w:szCs w:val="32"/>
          <w:highlight w:val="none"/>
        </w:rPr>
      </w:pPr>
      <w:bookmarkStart w:id="174" w:name="_Toc31158"/>
      <w:bookmarkStart w:id="175" w:name="_Toc15699"/>
      <w:bookmarkStart w:id="176" w:name="_Toc19830"/>
      <w:r>
        <w:rPr>
          <w:rFonts w:hint="eastAsia" w:ascii="仿宋" w:hAnsi="仿宋" w:eastAsia="仿宋" w:cs="仿宋"/>
          <w:color w:val="auto"/>
          <w:sz w:val="32"/>
          <w:szCs w:val="32"/>
          <w:highlight w:val="none"/>
        </w:rPr>
        <w:t>发挥蚌埠市在新型功能材料领域创新资源和技术优势，以打造“材料之都”为目标，重点发展硅基新材料和生物基新材料产业，统筹发展金属基材料和化工新材料。</w:t>
      </w:r>
      <w:bookmarkEnd w:id="174"/>
      <w:bookmarkEnd w:id="175"/>
      <w:bookmarkEnd w:id="176"/>
    </w:p>
    <w:p>
      <w:pPr>
        <w:keepNext w:val="0"/>
        <w:keepLines w:val="0"/>
        <w:pageBreakBefore w:val="0"/>
        <w:widowControl w:val="0"/>
        <w:numPr>
          <w:ilvl w:val="255"/>
          <w:numId w:val="0"/>
        </w:numPr>
        <w:kinsoku/>
        <w:wordWrap/>
        <w:overflowPunct/>
        <w:topLinePunct w:val="0"/>
        <w:autoSpaceDE/>
        <w:autoSpaceDN/>
        <w:bidi w:val="0"/>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1.硅基新材料。</w:t>
      </w:r>
      <w:r>
        <w:rPr>
          <w:rFonts w:hint="eastAsia" w:ascii="仿宋" w:hAnsi="仿宋" w:eastAsia="仿宋" w:cs="仿宋"/>
          <w:color w:val="auto"/>
          <w:sz w:val="32"/>
          <w:szCs w:val="32"/>
          <w:highlight w:val="none"/>
        </w:rPr>
        <w:t>聚焦打造世界级硅基材料制造中心发展目标，发挥中国建材蚌埠玻璃设计院、凯盛集团等创新资源优势，依托玻璃新材料国家创新中心、浮法玻璃新技术国家重点实验室等高水平研发平台，围绕新型显示、太阳能光伏、特种玻璃制品产业链，加快推进共性及关键技术攻关、新产品研发及重大科技成果转化。</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jc w:val="center"/>
              <w:rPr>
                <w:rFonts w:eastAsia="方正仿宋简体" w:asciiTheme="minorEastAsia" w:hAnsiTheme="minorEastAsia"/>
                <w:color w:val="auto"/>
                <w:sz w:val="24"/>
                <w:szCs w:val="24"/>
                <w:highlight w:val="none"/>
              </w:rPr>
            </w:pPr>
            <w:bookmarkStart w:id="177" w:name="_Hlk98115721"/>
            <w:r>
              <w:rPr>
                <w:rFonts w:hint="eastAsia" w:ascii="黑体" w:hAnsi="黑体" w:eastAsia="黑体" w:cs="黑体"/>
                <w:b w:val="0"/>
                <w:bCs w:val="0"/>
                <w:color w:val="auto"/>
                <w:sz w:val="28"/>
                <w:szCs w:val="28"/>
                <w:highlight w:val="none"/>
              </w:rPr>
              <w:t>专栏1</w:t>
            </w:r>
            <w:r>
              <w:rPr>
                <w:rFonts w:hint="eastAsia" w:ascii="黑体" w:hAnsi="黑体" w:eastAsia="黑体" w:cs="黑体"/>
                <w:b w:val="0"/>
                <w:bCs w:val="0"/>
                <w:color w:val="auto"/>
                <w:sz w:val="28"/>
                <w:szCs w:val="28"/>
                <w:highlight w:val="none"/>
                <w:lang w:val="en-US" w:eastAsia="zh-CN"/>
              </w:rPr>
              <w:t xml:space="preserve"> </w:t>
            </w:r>
            <w:r>
              <w:rPr>
                <w:rFonts w:hint="eastAsia" w:ascii="黑体" w:hAnsi="黑体" w:eastAsia="黑体" w:cs="黑体"/>
                <w:b w:val="0"/>
                <w:bCs w:val="0"/>
                <w:color w:val="auto"/>
                <w:sz w:val="28"/>
                <w:szCs w:val="28"/>
                <w:highlight w:val="none"/>
              </w:rPr>
              <w:t>硅基新材料产业优先发展重点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1.显示玻璃：</w:t>
            </w:r>
            <w:r>
              <w:rPr>
                <w:rFonts w:hint="eastAsia" w:ascii="仿宋" w:hAnsi="仿宋" w:eastAsia="仿宋" w:cs="仿宋"/>
                <w:color w:val="auto"/>
                <w:sz w:val="28"/>
                <w:szCs w:val="28"/>
                <w:highlight w:val="none"/>
              </w:rPr>
              <w:t>加快高世代TFT-LCD面板用基板玻璃、中小尺寸AMOLED面板用基板玻璃、显示模组用盖板玻璃和触控模组用基板玻璃等信息显示玻璃关键核心技术研发与应用。重点突破大尺寸信息显示玻璃成型技术、精细玻璃微缺陷控制技术与精密加工技术、高透光信息玻璃原料配方技术、信息显示平板玻璃减薄技术、超薄玻璃熔解脱泡技术和超薄显示玻璃成型及加工技术等关键技术。</w:t>
            </w:r>
          </w:p>
          <w:p>
            <w:pPr>
              <w:spacing w:line="40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2.光伏玻璃：</w:t>
            </w:r>
            <w:r>
              <w:rPr>
                <w:rFonts w:hint="eastAsia" w:ascii="仿宋" w:hAnsi="仿宋" w:eastAsia="仿宋" w:cs="仿宋"/>
                <w:color w:val="auto"/>
                <w:sz w:val="28"/>
                <w:szCs w:val="28"/>
                <w:highlight w:val="none"/>
              </w:rPr>
              <w:t>重点开展减反射和高透过率超白压花玻璃、耐酸自清玻璃、TCO导电玻璃、农业温室专用光伏玻璃、高效晶体硅光伏组件等相关技术研发与应用。</w:t>
            </w:r>
          </w:p>
          <w:p>
            <w:pPr>
              <w:spacing w:line="400" w:lineRule="exact"/>
              <w:ind w:firstLine="562" w:firstLineChars="200"/>
              <w:rPr>
                <w:color w:val="auto"/>
                <w:highlight w:val="none"/>
              </w:rPr>
            </w:pPr>
            <w:r>
              <w:rPr>
                <w:rFonts w:hint="eastAsia" w:ascii="仿宋" w:hAnsi="仿宋" w:eastAsia="仿宋" w:cs="仿宋"/>
                <w:b/>
                <w:bCs/>
                <w:color w:val="auto"/>
                <w:sz w:val="28"/>
                <w:szCs w:val="28"/>
                <w:highlight w:val="none"/>
              </w:rPr>
              <w:t>3.特种玻璃：</w:t>
            </w:r>
            <w:r>
              <w:rPr>
                <w:rFonts w:hint="eastAsia" w:ascii="仿宋" w:hAnsi="仿宋" w:eastAsia="仿宋" w:cs="仿宋"/>
                <w:color w:val="auto"/>
                <w:sz w:val="28"/>
                <w:szCs w:val="28"/>
                <w:highlight w:val="none"/>
              </w:rPr>
              <w:t>重点研发安全性高、质量性能好，具有控光、防爆、防弹、单向透光、反窃听和防电磁信号泄露等功能的安全膜及其衍生安全玻璃。围绕绿色建筑和节能建材的发展需求，开展热反射玻璃、中空玻璃、玻璃幕墙、功能性玻璃纤维等技术研发与应用。</w:t>
            </w:r>
          </w:p>
        </w:tc>
      </w:tr>
      <w:bookmarkEnd w:id="177"/>
    </w:tbl>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2.生物基新材料。</w:t>
      </w:r>
      <w:r>
        <w:rPr>
          <w:rFonts w:hint="eastAsia" w:ascii="仿宋" w:hAnsi="仿宋" w:eastAsia="仿宋" w:cs="仿宋"/>
          <w:color w:val="auto"/>
          <w:sz w:val="32"/>
          <w:szCs w:val="32"/>
          <w:highlight w:val="none"/>
        </w:rPr>
        <w:t>依托发酵技术国家工程研究中心、安徽省全生物降解材料工程实验室等重点研发平台，发挥丰原集团、雪郎生物等龙头骨干企业作用，深化与国内外知名企业和科研机构合作，围绕“四聚一素”，面向发展资源化、无害化、资源补充替代、可降解产品的友好型生态环境建设需求，加快推进共性及关键技术攻关、新产品研发及重大科技成果转化，打造世界级生物基新材料制造中心。</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jc w:val="center"/>
              <w:rPr>
                <w:rFonts w:asciiTheme="minorEastAsia" w:hAnsiTheme="minorEastAsia" w:eastAsiaTheme="minorEastAsia"/>
                <w:color w:val="auto"/>
                <w:sz w:val="24"/>
                <w:szCs w:val="24"/>
                <w:highlight w:val="none"/>
              </w:rPr>
            </w:pPr>
            <w:bookmarkStart w:id="178" w:name="_Hlk98115737"/>
            <w:r>
              <w:rPr>
                <w:rFonts w:hint="eastAsia" w:ascii="黑体" w:hAnsi="黑体" w:eastAsia="黑体" w:cs="黑体"/>
                <w:b w:val="0"/>
                <w:bCs w:val="0"/>
                <w:color w:val="auto"/>
                <w:sz w:val="28"/>
                <w:szCs w:val="28"/>
                <w:highlight w:val="none"/>
              </w:rPr>
              <w:t>专栏2</w:t>
            </w:r>
            <w:r>
              <w:rPr>
                <w:rFonts w:hint="eastAsia" w:ascii="黑体" w:hAnsi="黑体" w:eastAsia="黑体" w:cs="黑体"/>
                <w:b w:val="0"/>
                <w:bCs w:val="0"/>
                <w:color w:val="auto"/>
                <w:sz w:val="28"/>
                <w:szCs w:val="28"/>
                <w:highlight w:val="none"/>
                <w:lang w:val="en-US" w:eastAsia="zh-CN"/>
              </w:rPr>
              <w:t xml:space="preserve"> </w:t>
            </w:r>
            <w:r>
              <w:rPr>
                <w:rFonts w:hint="eastAsia" w:ascii="黑体" w:hAnsi="黑体" w:eastAsia="黑体" w:cs="黑体"/>
                <w:b w:val="0"/>
                <w:bCs w:val="0"/>
                <w:color w:val="auto"/>
                <w:sz w:val="28"/>
                <w:szCs w:val="28"/>
                <w:highlight w:val="none"/>
              </w:rPr>
              <w:t>生物基新材料产业优先发展重点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Pr>
          <w:p>
            <w:pPr>
              <w:numPr>
                <w:ilvl w:val="255"/>
                <w:numId w:val="0"/>
              </w:numPr>
              <w:spacing w:line="40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1.聚乳酸：</w:t>
            </w:r>
            <w:r>
              <w:rPr>
                <w:rFonts w:hint="eastAsia" w:ascii="仿宋" w:hAnsi="仿宋" w:eastAsia="仿宋" w:cs="仿宋"/>
                <w:color w:val="auto"/>
                <w:sz w:val="28"/>
                <w:szCs w:val="28"/>
                <w:highlight w:val="none"/>
              </w:rPr>
              <w:t>加快菌种选育、发酵调控、分离纯化、聚合反应、聚乳酸改性应用等核心技术研究，加快突破改性技术和聚合工艺，研发耐热性更强、可加工性更好、安全性更高、降解可控制性更强的聚乳酸材料。</w:t>
            </w:r>
          </w:p>
          <w:p>
            <w:pPr>
              <w:numPr>
                <w:ilvl w:val="255"/>
                <w:numId w:val="0"/>
              </w:numPr>
              <w:spacing w:line="40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2.聚丁二酸丁二醇酯：</w:t>
            </w:r>
            <w:r>
              <w:rPr>
                <w:rFonts w:hint="eastAsia" w:ascii="仿宋" w:hAnsi="仿宋" w:eastAsia="仿宋" w:cs="仿宋"/>
                <w:color w:val="auto"/>
                <w:sz w:val="28"/>
                <w:szCs w:val="28"/>
                <w:highlight w:val="none"/>
              </w:rPr>
              <w:t>加大纤维素水解和发酵制备等方面研发力度，在催化剂研发和改性方面寻求突破，使产品性能能够满足农业生产、工业生产、生物医药、生活用品等领域多样化应用需求。</w:t>
            </w:r>
          </w:p>
          <w:p>
            <w:pPr>
              <w:numPr>
                <w:ilvl w:val="255"/>
                <w:numId w:val="0"/>
              </w:numPr>
              <w:spacing w:line="40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3.呋喃聚酯：</w:t>
            </w:r>
            <w:r>
              <w:rPr>
                <w:rFonts w:hint="eastAsia" w:ascii="仿宋" w:hAnsi="仿宋" w:eastAsia="仿宋" w:cs="仿宋"/>
                <w:color w:val="auto"/>
                <w:sz w:val="28"/>
                <w:szCs w:val="28"/>
                <w:highlight w:val="none"/>
              </w:rPr>
              <w:t>重点开拓呋喃基新材料的新型催化体系和新型聚合研究，推进取得合成呋喃基生物新材料单体新方法，大力推广呋喃聚酯、呋喃聚酰胺的产业化应用。</w:t>
            </w:r>
          </w:p>
          <w:p>
            <w:pPr>
              <w:numPr>
                <w:ilvl w:val="255"/>
                <w:numId w:val="0"/>
              </w:numPr>
              <w:spacing w:line="40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4.聚氨酯：</w:t>
            </w:r>
            <w:r>
              <w:rPr>
                <w:rFonts w:hint="eastAsia" w:ascii="仿宋" w:hAnsi="仿宋" w:eastAsia="仿宋" w:cs="仿宋"/>
                <w:color w:val="auto"/>
                <w:sz w:val="28"/>
                <w:szCs w:val="28"/>
                <w:highlight w:val="none"/>
              </w:rPr>
              <w:t>加快开展聚氨酯用于制成泡沫材料、聚氨酯合成革、聚氨酯类涂料、道床固化材料、复合型高密度聚醚型聚氨酯材料、弹性体等不同应用领域的研发，扩大聚氨酯材料在建筑、家电、制鞋、家具等领域的下游应用。</w:t>
            </w:r>
          </w:p>
          <w:p>
            <w:pPr>
              <w:numPr>
                <w:ilvl w:val="255"/>
                <w:numId w:val="0"/>
              </w:numPr>
              <w:spacing w:line="400" w:lineRule="exact"/>
              <w:ind w:firstLine="562" w:firstLineChars="200"/>
              <w:rPr>
                <w:rFonts w:ascii="方正仿宋简体" w:hAnsi="楷体" w:eastAsia="方正仿宋简体" w:cs="方正仿宋简体"/>
                <w:color w:val="auto"/>
                <w:sz w:val="24"/>
                <w:szCs w:val="24"/>
                <w:highlight w:val="none"/>
              </w:rPr>
            </w:pPr>
            <w:r>
              <w:rPr>
                <w:rFonts w:hint="eastAsia" w:ascii="仿宋" w:hAnsi="仿宋" w:eastAsia="仿宋" w:cs="仿宋"/>
                <w:b/>
                <w:bCs/>
                <w:color w:val="auto"/>
                <w:sz w:val="28"/>
                <w:szCs w:val="28"/>
                <w:highlight w:val="none"/>
              </w:rPr>
              <w:t>5.纳米纤维素：</w:t>
            </w:r>
            <w:r>
              <w:rPr>
                <w:rFonts w:hint="eastAsia" w:ascii="仿宋" w:hAnsi="仿宋" w:eastAsia="仿宋" w:cs="仿宋"/>
                <w:color w:val="auto"/>
                <w:sz w:val="28"/>
                <w:szCs w:val="28"/>
                <w:highlight w:val="none"/>
              </w:rPr>
              <w:t>支持企业开展纳米纤维素材料改性技术攻关，向轻质高强韧、高尺寸稳定性、抗热震、抗冲击、高损伤容限、高比表面积、高结晶性等多种性能发展，推进纳米纤维素产品的产业化应用。</w:t>
            </w:r>
          </w:p>
        </w:tc>
      </w:tr>
      <w:bookmarkEnd w:id="178"/>
    </w:tbl>
    <w:p>
      <w:pPr>
        <w:pStyle w:val="4"/>
        <w:rPr>
          <w:color w:val="auto"/>
          <w:highlight w:val="none"/>
        </w:rPr>
      </w:pPr>
    </w:p>
    <w:p>
      <w:pPr>
        <w:pStyle w:val="8"/>
        <w:keepNext w:val="0"/>
        <w:keepLines w:val="0"/>
        <w:pageBreakBefore w:val="0"/>
        <w:widowControl w:val="0"/>
        <w:kinsoku/>
        <w:wordWrap/>
        <w:overflowPunct/>
        <w:topLinePunct w:val="0"/>
        <w:autoSpaceDE/>
        <w:autoSpaceDN/>
        <w:bidi w:val="0"/>
        <w:adjustRightInd/>
        <w:snapToGrid/>
        <w:ind w:firstLine="641"/>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3.其他新材料。</w:t>
      </w:r>
      <w:r>
        <w:rPr>
          <w:rFonts w:hint="eastAsia" w:ascii="仿宋" w:hAnsi="仿宋" w:eastAsia="仿宋" w:cs="仿宋"/>
          <w:color w:val="auto"/>
          <w:sz w:val="32"/>
          <w:szCs w:val="32"/>
          <w:highlight w:val="none"/>
        </w:rPr>
        <w:t>聚集蚌埠产业基础较好的金属基新材料和化工新材料等，重点开展稀土功能材料、微波介质陶瓷、高频基材、高密度存储材料、专用化学品、高性能催化剂、高性能橡塑助剂、高性能复合材料、节能与新能源材料以及面向特殊服役环境的特种金属材料等关键核心技术研发与应用；开展高品质自控温聚合物纳米复合材料及电热器件、生态功能性聚氨酯合成革、汽车及家电用环保轻量化改性塑料、高强轻质柔性阻隔膜复合材料、pdcpd（聚双环戊二烯）材料等关键技术研发与产业化。</w:t>
      </w:r>
    </w:p>
    <w:p>
      <w:pPr>
        <w:pStyle w:val="15"/>
        <w:ind w:left="482" w:firstLine="0" w:firstLineChars="0"/>
        <w:outlineLvl w:val="2"/>
        <w:rPr>
          <w:rFonts w:hint="eastAsia" w:ascii="仿宋" w:hAnsi="仿宋" w:eastAsia="仿宋" w:cs="仿宋"/>
          <w:b/>
          <w:color w:val="auto"/>
          <w:sz w:val="32"/>
          <w:szCs w:val="32"/>
          <w:highlight w:val="none"/>
        </w:rPr>
      </w:pPr>
      <w:bookmarkStart w:id="179" w:name="_Toc5503"/>
      <w:bookmarkStart w:id="180" w:name="_Toc30602"/>
      <w:bookmarkStart w:id="181" w:name="_Toc14633"/>
      <w:bookmarkStart w:id="182" w:name="_Toc4647"/>
      <w:bookmarkStart w:id="183" w:name="_Toc100851643"/>
      <w:bookmarkStart w:id="184" w:name="_Toc14933"/>
      <w:bookmarkStart w:id="185" w:name="_Toc20779"/>
      <w:bookmarkStart w:id="186" w:name="_Toc449"/>
      <w:bookmarkStart w:id="187" w:name="_Toc28669"/>
      <w:bookmarkStart w:id="188" w:name="_Toc11135"/>
      <w:r>
        <w:rPr>
          <w:rFonts w:hint="eastAsia" w:ascii="仿宋" w:hAnsi="仿宋" w:eastAsia="仿宋" w:cs="仿宋"/>
          <w:b/>
          <w:color w:val="auto"/>
          <w:sz w:val="32"/>
          <w:szCs w:val="32"/>
          <w:highlight w:val="none"/>
        </w:rPr>
        <w:t>（二）新一代信息技术产业</w:t>
      </w:r>
      <w:bookmarkEnd w:id="179"/>
      <w:bookmarkEnd w:id="180"/>
      <w:bookmarkEnd w:id="181"/>
      <w:bookmarkEnd w:id="182"/>
      <w:bookmarkEnd w:id="183"/>
      <w:bookmarkEnd w:id="184"/>
      <w:bookmarkEnd w:id="185"/>
      <w:bookmarkEnd w:id="186"/>
      <w:bookmarkEnd w:id="187"/>
      <w:bookmarkEnd w:id="188"/>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充分发挥中国兵器214所、中电科第40、41研究所等驻蚌科研院所和龙头骨干企业技术优势，瞄准新型显示、智能传感器、移动通讯等领域，开展新一代信息技术关键核心技术攻关和成果转化，推动新一代信息技术产业急速崛起、扩容倍增。</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96" w:type="dxa"/>
          </w:tcPr>
          <w:p>
            <w:pPr>
              <w:spacing w:line="400" w:lineRule="exact"/>
              <w:jc w:val="center"/>
              <w:rPr>
                <w:rFonts w:asciiTheme="minorEastAsia" w:hAnsiTheme="minorEastAsia" w:eastAsiaTheme="minorEastAsia"/>
                <w:color w:val="auto"/>
                <w:sz w:val="28"/>
                <w:szCs w:val="28"/>
                <w:highlight w:val="none"/>
              </w:rPr>
            </w:pPr>
            <w:r>
              <w:rPr>
                <w:rFonts w:hint="eastAsia" w:ascii="黑体" w:hAnsi="黑体" w:eastAsia="黑体" w:cs="黑体"/>
                <w:b w:val="0"/>
                <w:bCs w:val="0"/>
                <w:color w:val="auto"/>
                <w:sz w:val="28"/>
                <w:szCs w:val="28"/>
                <w:highlight w:val="none"/>
              </w:rPr>
              <w:t>专栏</w:t>
            </w:r>
            <w:r>
              <w:rPr>
                <w:rFonts w:hint="eastAsia" w:ascii="黑体" w:hAnsi="黑体" w:eastAsia="黑体" w:cs="黑体"/>
                <w:b w:val="0"/>
                <w:bCs w:val="0"/>
                <w:color w:val="auto"/>
                <w:sz w:val="28"/>
                <w:szCs w:val="28"/>
                <w:highlight w:val="none"/>
                <w:lang w:val="en-US" w:eastAsia="zh-CN"/>
              </w:rPr>
              <w:t>3</w:t>
            </w:r>
            <w:r>
              <w:rPr>
                <w:rFonts w:hint="eastAsia" w:ascii="黑体" w:hAnsi="黑体" w:eastAsia="黑体" w:cs="黑体"/>
                <w:b w:val="0"/>
                <w:bCs w:val="0"/>
                <w:color w:val="auto"/>
                <w:sz w:val="28"/>
                <w:szCs w:val="28"/>
                <w:highlight w:val="none"/>
              </w:rPr>
              <w:t xml:space="preserve"> 新一代信息技术产业优先发展重点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1.新型显示。</w:t>
            </w:r>
            <w:r>
              <w:rPr>
                <w:rFonts w:hint="eastAsia" w:ascii="仿宋" w:hAnsi="仿宋" w:eastAsia="仿宋" w:cs="仿宋"/>
                <w:color w:val="auto"/>
                <w:sz w:val="28"/>
                <w:szCs w:val="28"/>
                <w:highlight w:val="none"/>
              </w:rPr>
              <w:t>重点开展为智能终端配套的新型背光模组、触控模组PPI达到1000以上Micro-OLED、无介质人机交互显示、低阻超薄柔性触控材料、超低延时响应GFF触摸屏、柔性可折叠玻璃盖板、大尺寸触控商显关键材料和大尺寸工程拼接显示模组等先进显示模组研发与应用。</w:t>
            </w:r>
          </w:p>
          <w:p>
            <w:pPr>
              <w:spacing w:line="40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2.智能传感器。</w:t>
            </w:r>
            <w:r>
              <w:rPr>
                <w:rFonts w:hint="eastAsia" w:ascii="仿宋" w:hAnsi="仿宋" w:eastAsia="仿宋" w:cs="仿宋"/>
                <w:color w:val="auto"/>
                <w:sz w:val="28"/>
                <w:szCs w:val="28"/>
                <w:highlight w:val="none"/>
              </w:rPr>
              <w:t>鼓励企业联合国内外设计企业开展中高端MEMS器件的技术研发，提升传感器生产工艺，拓展MEMS传感器在汽车工业、工业自动化、消费电子等下游领域的应用。加强压力传感器、温湿度传感器、EMCCD图像传感器、LTCC片式传感器、磁传感器、陀螺仪、加速度计、红外传感器、5G通信MEMS器件、MEMS光衰减器等研发与应用，推动传感器向高精度、集成化和小型化方向发展。</w:t>
            </w:r>
          </w:p>
          <w:p>
            <w:pPr>
              <w:spacing w:line="400" w:lineRule="exact"/>
              <w:ind w:firstLine="562" w:firstLineChars="200"/>
              <w:rPr>
                <w:rFonts w:ascii="方正仿宋简体" w:hAnsi="楷体" w:eastAsia="方正仿宋简体" w:cs="方正仿宋简体"/>
                <w:color w:val="auto"/>
                <w:sz w:val="28"/>
                <w:szCs w:val="28"/>
                <w:highlight w:val="none"/>
              </w:rPr>
            </w:pPr>
            <w:r>
              <w:rPr>
                <w:rFonts w:hint="eastAsia" w:ascii="仿宋" w:hAnsi="仿宋" w:eastAsia="仿宋" w:cs="仿宋"/>
                <w:b/>
                <w:bCs/>
                <w:color w:val="auto"/>
                <w:sz w:val="28"/>
                <w:szCs w:val="28"/>
                <w:highlight w:val="none"/>
              </w:rPr>
              <w:t>3.移动通信。</w:t>
            </w:r>
            <w:r>
              <w:rPr>
                <w:rFonts w:hint="eastAsia" w:ascii="仿宋" w:hAnsi="仿宋" w:eastAsia="仿宋" w:cs="仿宋"/>
                <w:color w:val="auto"/>
                <w:sz w:val="28"/>
                <w:szCs w:val="28"/>
                <w:highlight w:val="none"/>
              </w:rPr>
              <w:t>全面推进第五代移动通信相关技术研发及应用。重点开展5G基站/终端所需的5G通信射频连接器、A/D和D/A转换器芯片等5G通讯核心器部件与模组关键技术研发与应用；支持5G宽带信号实时基带处理、多通道数据并行高效处理、毫米波基站测试、多模终端处理测试等关键技术研发与应用；开展5G基站建设所需的基带设备、射频设备、一体化设备等研发与应用；开展面向商用的5G通信移动终端主控芯片及多场景终端设备研发与应用。</w:t>
            </w:r>
          </w:p>
        </w:tc>
      </w:tr>
    </w:tbl>
    <w:p>
      <w:pPr>
        <w:pStyle w:val="15"/>
        <w:ind w:left="482" w:firstLine="0" w:firstLineChars="0"/>
        <w:outlineLvl w:val="2"/>
        <w:rPr>
          <w:rFonts w:hint="eastAsia" w:ascii="仿宋" w:hAnsi="仿宋" w:eastAsia="仿宋" w:cs="仿宋"/>
          <w:b/>
          <w:color w:val="auto"/>
          <w:sz w:val="32"/>
          <w:szCs w:val="32"/>
          <w:highlight w:val="none"/>
        </w:rPr>
      </w:pPr>
      <w:bookmarkStart w:id="189" w:name="_Toc100851644"/>
      <w:bookmarkStart w:id="190" w:name="_Toc17853"/>
      <w:bookmarkStart w:id="191" w:name="_Toc6000"/>
      <w:bookmarkStart w:id="192" w:name="_Toc7110"/>
      <w:bookmarkStart w:id="193" w:name="_Toc30270"/>
      <w:bookmarkStart w:id="194" w:name="_Toc29993"/>
      <w:bookmarkStart w:id="195" w:name="_Toc5171"/>
      <w:bookmarkStart w:id="196" w:name="_Toc14344"/>
      <w:bookmarkStart w:id="197" w:name="_Toc8390"/>
      <w:bookmarkStart w:id="198" w:name="_Toc13172"/>
      <w:r>
        <w:rPr>
          <w:rFonts w:hint="eastAsia" w:ascii="仿宋" w:hAnsi="仿宋" w:eastAsia="仿宋" w:cs="仿宋"/>
          <w:b/>
          <w:color w:val="auto"/>
          <w:sz w:val="32"/>
          <w:szCs w:val="32"/>
          <w:highlight w:val="none"/>
        </w:rPr>
        <w:t>（三）高端装备制造产业</w:t>
      </w:r>
      <w:bookmarkEnd w:id="189"/>
      <w:bookmarkEnd w:id="190"/>
      <w:bookmarkEnd w:id="191"/>
      <w:bookmarkEnd w:id="192"/>
      <w:bookmarkEnd w:id="193"/>
      <w:bookmarkEnd w:id="194"/>
      <w:bookmarkEnd w:id="195"/>
      <w:bookmarkEnd w:id="196"/>
      <w:bookmarkEnd w:id="197"/>
      <w:bookmarkEnd w:id="198"/>
    </w:p>
    <w:p>
      <w:pPr>
        <w:keepNext w:val="0"/>
        <w:keepLines w:val="0"/>
        <w:pageBreakBefore w:val="0"/>
        <w:widowControl/>
        <w:numPr>
          <w:ilvl w:val="255"/>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坚持高端化、智能化、服务化发展方向，围绕制造业发展需求，瞄准蚌埠市有基础、有优势的通用装备制造、专用装备制造、汽车核心零部件等领域，开展研发与产业化，着力攻关一批重大关键核心技术，夯实高端装备制造产业发展根基。</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96" w:type="dxa"/>
          </w:tcPr>
          <w:p>
            <w:pPr>
              <w:spacing w:line="400" w:lineRule="exact"/>
              <w:jc w:val="center"/>
              <w:rPr>
                <w:rFonts w:asciiTheme="minorEastAsia" w:hAnsiTheme="minorEastAsia" w:eastAsiaTheme="minorEastAsia"/>
                <w:color w:val="auto"/>
                <w:sz w:val="28"/>
                <w:szCs w:val="28"/>
                <w:highlight w:val="none"/>
              </w:rPr>
            </w:pPr>
            <w:bookmarkStart w:id="199" w:name="_Toc5731"/>
            <w:bookmarkStart w:id="200" w:name="_Toc3744"/>
            <w:r>
              <w:rPr>
                <w:rFonts w:hint="eastAsia" w:ascii="黑体" w:hAnsi="黑体" w:eastAsia="黑体" w:cs="黑体"/>
                <w:b w:val="0"/>
                <w:bCs w:val="0"/>
                <w:color w:val="auto"/>
                <w:sz w:val="28"/>
                <w:szCs w:val="28"/>
                <w:highlight w:val="none"/>
              </w:rPr>
              <w:t>专栏</w:t>
            </w:r>
            <w:r>
              <w:rPr>
                <w:rFonts w:hint="eastAsia" w:ascii="黑体" w:hAnsi="黑体" w:eastAsia="黑体" w:cs="黑体"/>
                <w:b w:val="0"/>
                <w:bCs w:val="0"/>
                <w:color w:val="auto"/>
                <w:sz w:val="28"/>
                <w:szCs w:val="28"/>
                <w:highlight w:val="none"/>
                <w:lang w:val="en-US" w:eastAsia="zh-CN"/>
              </w:rPr>
              <w:t xml:space="preserve">4 </w:t>
            </w:r>
            <w:r>
              <w:rPr>
                <w:rFonts w:hint="eastAsia" w:ascii="黑体" w:hAnsi="黑体" w:eastAsia="黑体" w:cs="黑体"/>
                <w:b w:val="0"/>
                <w:bCs w:val="0"/>
                <w:color w:val="auto"/>
                <w:sz w:val="28"/>
                <w:szCs w:val="28"/>
                <w:highlight w:val="none"/>
              </w:rPr>
              <w:t>高端装备制造产业优先发展重点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5" w:hRule="atLeast"/>
          <w:jc w:val="center"/>
        </w:trPr>
        <w:tc>
          <w:tcPr>
            <w:tcW w:w="8296" w:type="dxa"/>
          </w:tcPr>
          <w:p>
            <w:pPr>
              <w:widowControl/>
              <w:spacing w:line="400" w:lineRule="exact"/>
              <w:ind w:firstLine="562" w:firstLineChars="200"/>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1.通用装备制造。</w:t>
            </w:r>
            <w:r>
              <w:rPr>
                <w:rFonts w:hint="eastAsia" w:ascii="仿宋" w:hAnsi="仿宋" w:eastAsia="仿宋" w:cs="仿宋"/>
                <w:color w:val="auto"/>
                <w:sz w:val="28"/>
                <w:szCs w:val="28"/>
                <w:highlight w:val="none"/>
              </w:rPr>
              <w:t>重点开展新型智能化高端成套装备研发及产业化；支持企业面向高世代玻璃基板、聚乳酸生产、特种玻璃以及硅基、生物基材料下游应用等领域研究开发具有核心技术的生产线成套装备；支持企业研制具备高速、高精</w:t>
            </w:r>
            <w:r>
              <w:rPr>
                <w:rFonts w:hint="eastAsia" w:ascii="仿宋" w:hAnsi="仿宋" w:eastAsia="仿宋" w:cs="仿宋"/>
                <w:color w:val="auto"/>
                <w:sz w:val="28"/>
                <w:szCs w:val="28"/>
                <w:highlight w:val="none"/>
                <w:lang w:val="en-US" w:eastAsia="zh-CN"/>
              </w:rPr>
              <w:t>度</w:t>
            </w:r>
            <w:r>
              <w:rPr>
                <w:rFonts w:hint="eastAsia" w:ascii="仿宋" w:hAnsi="仿宋" w:eastAsia="仿宋" w:cs="仿宋"/>
                <w:color w:val="auto"/>
                <w:sz w:val="28"/>
                <w:szCs w:val="28"/>
                <w:highlight w:val="none"/>
              </w:rPr>
              <w:t>、智能、柔性、复合加工功能的玻璃切割装备；鼓励企业开展工业机器人、压缩机等关键核心技术研发与应用。</w:t>
            </w:r>
          </w:p>
          <w:p>
            <w:pPr>
              <w:widowControl/>
              <w:spacing w:line="40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2.专用装备制造。</w:t>
            </w:r>
            <w:r>
              <w:rPr>
                <w:rFonts w:hint="eastAsia" w:ascii="仿宋" w:hAnsi="仿宋" w:eastAsia="仿宋" w:cs="仿宋"/>
                <w:color w:val="auto"/>
                <w:sz w:val="28"/>
                <w:szCs w:val="28"/>
                <w:highlight w:val="none"/>
              </w:rPr>
              <w:t>支持企业开展新型纺纱装备、高速数控针织装备、高效智能化纤设备、智能印染设备、成衣制版设备等纺织类专用装备关键技术研发与应用；鼓励企业围绕生物基材料产业开展精馏塔、反应釜等核心设备关键技术研发；支持企业围绕加速生物基材料在注塑行业应用开展吹膜、注塑、片材等设备关键核心技术研究；鼓励企业开展反渗透膜技术装备、渗滤液处理技术装备、污泥干化和污泥焚烧技术装备、污水处理高效节能曝气设备、耐高温大容量布袋除尘器、烟气脱硫大型氧化风机、除雾器、循环泵、电袋复合除尘技术装备等环保专用装备新产品研制。</w:t>
            </w:r>
          </w:p>
          <w:p>
            <w:pPr>
              <w:widowControl/>
              <w:spacing w:line="400" w:lineRule="exact"/>
              <w:ind w:firstLine="562" w:firstLineChars="200"/>
              <w:rPr>
                <w:rFonts w:ascii="方正仿宋简体" w:hAnsi="楷体" w:eastAsia="方正仿宋简体" w:cs="方正仿宋简体"/>
                <w:color w:val="auto"/>
                <w:sz w:val="28"/>
                <w:szCs w:val="28"/>
                <w:highlight w:val="none"/>
              </w:rPr>
            </w:pPr>
            <w:r>
              <w:rPr>
                <w:rFonts w:hint="eastAsia" w:ascii="仿宋" w:hAnsi="仿宋" w:eastAsia="仿宋" w:cs="仿宋"/>
                <w:b/>
                <w:bCs/>
                <w:color w:val="auto"/>
                <w:sz w:val="28"/>
                <w:szCs w:val="28"/>
                <w:highlight w:val="none"/>
              </w:rPr>
              <w:t>3.汽车核心零部件。</w:t>
            </w:r>
            <w:r>
              <w:rPr>
                <w:rFonts w:hint="eastAsia" w:ascii="仿宋" w:hAnsi="仿宋" w:eastAsia="仿宋" w:cs="仿宋"/>
                <w:color w:val="auto"/>
                <w:sz w:val="28"/>
                <w:szCs w:val="28"/>
                <w:highlight w:val="none"/>
              </w:rPr>
              <w:t>重点开展高端滤清器、大吨位汽车起重机、电磁离合器、高压直流继电器、减速器等汽车零部件和液压油缸等汽车通用装备零部件的新产品研发和关键核心技术攻关，支持研发环卫专用新能源汽车、无人驾驶叉车、新能源低速电动车、新能源动力电池等先进交通装备产品与零部件，推动关键零部件高端化发展。</w:t>
            </w:r>
          </w:p>
        </w:tc>
      </w:tr>
      <w:bookmarkEnd w:id="199"/>
      <w:bookmarkEnd w:id="200"/>
    </w:tbl>
    <w:p>
      <w:pPr>
        <w:pStyle w:val="15"/>
        <w:ind w:left="482" w:firstLine="0" w:firstLineChars="0"/>
        <w:outlineLvl w:val="2"/>
        <w:rPr>
          <w:rFonts w:hint="eastAsia" w:ascii="方正仿宋简体" w:hAnsi="方正仿宋简体" w:eastAsia="方正仿宋简体" w:cs="方正仿宋简体"/>
          <w:b/>
          <w:color w:val="auto"/>
          <w:sz w:val="32"/>
          <w:szCs w:val="32"/>
          <w:highlight w:val="none"/>
        </w:rPr>
      </w:pPr>
      <w:bookmarkStart w:id="201" w:name="_Toc8058"/>
      <w:bookmarkStart w:id="202" w:name="_Toc19758"/>
      <w:bookmarkStart w:id="203" w:name="_Toc21434"/>
      <w:bookmarkStart w:id="204" w:name="_Toc19247"/>
      <w:bookmarkStart w:id="205" w:name="_Toc16393"/>
      <w:bookmarkStart w:id="206" w:name="_Toc100851645"/>
      <w:bookmarkStart w:id="207" w:name="_Toc26970"/>
      <w:bookmarkStart w:id="208" w:name="_Toc6268"/>
      <w:bookmarkStart w:id="209" w:name="_Toc19467"/>
      <w:bookmarkStart w:id="210" w:name="_Toc21852"/>
    </w:p>
    <w:p>
      <w:pPr>
        <w:pStyle w:val="15"/>
        <w:ind w:left="482" w:firstLine="0" w:firstLineChars="0"/>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（四）生命健康产业</w:t>
      </w:r>
      <w:bookmarkEnd w:id="201"/>
      <w:bookmarkEnd w:id="202"/>
      <w:bookmarkEnd w:id="203"/>
      <w:bookmarkEnd w:id="204"/>
      <w:bookmarkEnd w:id="205"/>
      <w:bookmarkEnd w:id="206"/>
      <w:bookmarkEnd w:id="207"/>
      <w:bookmarkEnd w:id="208"/>
      <w:bookmarkEnd w:id="209"/>
      <w:bookmarkEnd w:id="210"/>
    </w:p>
    <w:p>
      <w:pPr>
        <w:widowControl/>
        <w:numPr>
          <w:ilvl w:val="255"/>
          <w:numId w:val="0"/>
        </w:numPr>
        <w:ind w:firstLine="640" w:firstLineChars="200"/>
        <w:rPr>
          <w:rFonts w:hint="eastAsia" w:ascii="仿宋" w:hAnsi="仿宋" w:eastAsia="仿宋" w:cs="仿宋"/>
          <w:color w:val="auto"/>
          <w:sz w:val="32"/>
          <w:highlight w:val="none"/>
        </w:rPr>
      </w:pPr>
      <w:r>
        <w:rPr>
          <w:rFonts w:hint="eastAsia" w:ascii="仿宋" w:hAnsi="仿宋" w:eastAsia="仿宋" w:cs="仿宋"/>
          <w:color w:val="auto"/>
          <w:sz w:val="32"/>
          <w:highlight w:val="none"/>
        </w:rPr>
        <w:t>面向人民健康需求，依托精细化工、维生素产业基础，以创仿结合、品种优化、链条延伸为主攻方向，重点开发大宗原料药、化学药和改良药、医疗器械、药辅及包材，形成涵盖核心技术、重点产品、关键设备等的生命健康产业体系。</w:t>
      </w:r>
      <w:bookmarkStart w:id="211" w:name="_Toc20116"/>
      <w:bookmarkStart w:id="212" w:name="_Toc5995"/>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96" w:type="dxa"/>
          </w:tcPr>
          <w:p>
            <w:pPr>
              <w:spacing w:line="400" w:lineRule="exact"/>
              <w:jc w:val="center"/>
              <w:rPr>
                <w:rFonts w:asciiTheme="minorEastAsia" w:hAnsiTheme="minorEastAsia" w:eastAsiaTheme="minorEastAsia"/>
                <w:color w:val="auto"/>
                <w:sz w:val="28"/>
                <w:szCs w:val="28"/>
                <w:highlight w:val="none"/>
              </w:rPr>
            </w:pPr>
            <w:r>
              <w:rPr>
                <w:rFonts w:hint="eastAsia" w:ascii="黑体" w:hAnsi="黑体" w:eastAsia="黑体" w:cs="黑体"/>
                <w:b w:val="0"/>
                <w:bCs w:val="0"/>
                <w:color w:val="auto"/>
                <w:sz w:val="28"/>
                <w:szCs w:val="28"/>
                <w:highlight w:val="none"/>
              </w:rPr>
              <w:t>专栏</w:t>
            </w:r>
            <w:r>
              <w:rPr>
                <w:rFonts w:hint="eastAsia" w:ascii="黑体" w:hAnsi="黑体" w:eastAsia="黑体" w:cs="黑体"/>
                <w:b w:val="0"/>
                <w:bCs w:val="0"/>
                <w:color w:val="auto"/>
                <w:sz w:val="28"/>
                <w:szCs w:val="28"/>
                <w:highlight w:val="none"/>
                <w:lang w:val="en-US" w:eastAsia="zh-CN"/>
              </w:rPr>
              <w:t>5</w:t>
            </w:r>
            <w:r>
              <w:rPr>
                <w:rFonts w:hint="eastAsia" w:ascii="黑体" w:hAnsi="黑体" w:eastAsia="黑体" w:cs="黑体"/>
                <w:b w:val="0"/>
                <w:bCs w:val="0"/>
                <w:color w:val="auto"/>
                <w:sz w:val="28"/>
                <w:szCs w:val="28"/>
                <w:highlight w:val="none"/>
              </w:rPr>
              <w:t xml:space="preserve"> 生命健康产业优先发展重点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widowControl/>
              <w:numPr>
                <w:ilvl w:val="255"/>
                <w:numId w:val="0"/>
              </w:numPr>
              <w:spacing w:line="400" w:lineRule="exact"/>
              <w:ind w:firstLine="562" w:firstLineChars="200"/>
              <w:rPr>
                <w:rFonts w:hint="eastAsia" w:ascii="仿宋" w:hAnsi="仿宋" w:eastAsia="仿宋" w:cs="仿宋"/>
                <w:color w:val="auto"/>
                <w:sz w:val="28"/>
                <w:szCs w:val="28"/>
                <w:highlight w:val="none"/>
                <w:lang w:bidi="ar"/>
              </w:rPr>
            </w:pPr>
            <w:r>
              <w:rPr>
                <w:rFonts w:hint="eastAsia" w:ascii="仿宋" w:hAnsi="仿宋" w:eastAsia="仿宋" w:cs="仿宋"/>
                <w:b/>
                <w:bCs/>
                <w:color w:val="auto"/>
                <w:sz w:val="28"/>
                <w:szCs w:val="28"/>
                <w:highlight w:val="none"/>
              </w:rPr>
              <w:t>1.化学原料药。</w:t>
            </w:r>
            <w:r>
              <w:rPr>
                <w:rFonts w:hint="eastAsia" w:ascii="仿宋" w:hAnsi="仿宋" w:eastAsia="仿宋" w:cs="仿宋"/>
                <w:color w:val="auto"/>
                <w:sz w:val="28"/>
                <w:szCs w:val="28"/>
                <w:highlight w:val="none"/>
              </w:rPr>
              <w:t>重点开展面向抗肿瘤、精神神经、消化道、心血管疾病、慢病（三高）等疾病领域的特色原料药物，以及针对预灌封注射剂、眼用制剂、吸入制剂等特色制剂的关键核心技术攻关，支持重点企业布局面向代谢性疾病、传感性疾病等重大疾病类的化学新药研发。围绕中药治疗优势病种，加快中成药大品种的二次开发，支持中药经典名方研发与生产。支持发展高仿、难仿和首仿药，鼓励企业开展临床急需、供应</w:t>
            </w:r>
            <w:r>
              <w:rPr>
                <w:rFonts w:hint="eastAsia" w:ascii="仿宋" w:hAnsi="仿宋" w:eastAsia="仿宋" w:cs="仿宋"/>
                <w:color w:val="auto"/>
                <w:sz w:val="28"/>
                <w:szCs w:val="28"/>
                <w:highlight w:val="none"/>
                <w:lang w:bidi="ar"/>
              </w:rPr>
              <w:t>短缺、疗效确切、新专利到期药物的仿制开发。</w:t>
            </w:r>
          </w:p>
          <w:p>
            <w:pPr>
              <w:widowControl/>
              <w:spacing w:line="400" w:lineRule="exact"/>
              <w:ind w:firstLine="562" w:firstLineChars="200"/>
              <w:rPr>
                <w:rFonts w:ascii="方正仿宋简体" w:hAnsi="方正仿宋简体" w:eastAsia="方正仿宋简体" w:cs="方正仿宋简体"/>
                <w:color w:val="auto"/>
                <w:sz w:val="28"/>
                <w:szCs w:val="28"/>
                <w:highlight w:val="none"/>
              </w:rPr>
            </w:pPr>
            <w:r>
              <w:rPr>
                <w:rFonts w:hint="eastAsia" w:ascii="仿宋" w:hAnsi="仿宋" w:eastAsia="仿宋" w:cs="仿宋"/>
                <w:b/>
                <w:bCs/>
                <w:color w:val="auto"/>
                <w:sz w:val="28"/>
                <w:szCs w:val="28"/>
                <w:highlight w:val="none"/>
              </w:rPr>
              <w:t>2.医疗器械及药辅包材。</w:t>
            </w:r>
            <w:r>
              <w:rPr>
                <w:rFonts w:hint="eastAsia" w:ascii="仿宋" w:hAnsi="仿宋" w:eastAsia="仿宋" w:cs="仿宋"/>
                <w:color w:val="auto"/>
                <w:sz w:val="28"/>
                <w:szCs w:val="28"/>
                <w:highlight w:val="none"/>
              </w:rPr>
              <w:t>重点聚焦在高端医疗器械、药用辅料、医用耗材等三个领域，不断以技术突破带动产业发展。支持开发激光医疗设备、泌尿系统治疗仪、外科手术机器人、高端治疗呼吸机、除颤仪、中医治疗设备、等离子手术刀等新产品。以高端制剂用辅料为重点，推动功能性药用辅料研发，加强生物可降解材料药包材的研发及产业化。支持开发用于高端制剂、可提供特定功能的辅料和功能性材料。开展使用聚乳酸等生物基材料开发医用耗材。</w:t>
            </w:r>
            <w:r>
              <w:rPr>
                <w:rFonts w:hint="eastAsia" w:ascii="方正仿宋简体" w:hAnsi="方正仿宋简体" w:eastAsia="方正仿宋简体" w:cs="方正仿宋简体"/>
                <w:color w:val="auto"/>
                <w:sz w:val="28"/>
                <w:szCs w:val="28"/>
                <w:highlight w:val="none"/>
              </w:rPr>
              <w:t xml:space="preserve">       </w:t>
            </w:r>
          </w:p>
          <w:p>
            <w:pPr>
              <w:widowControl/>
              <w:spacing w:line="400" w:lineRule="exact"/>
              <w:ind w:firstLine="560" w:firstLineChars="200"/>
              <w:rPr>
                <w:rFonts w:ascii="方正仿宋简体" w:hAnsi="楷体" w:eastAsia="方正仿宋简体" w:cs="方正仿宋简体"/>
                <w:color w:val="auto"/>
                <w:sz w:val="28"/>
                <w:szCs w:val="28"/>
                <w:highlight w:val="none"/>
              </w:rPr>
            </w:pPr>
          </w:p>
        </w:tc>
      </w:tr>
      <w:bookmarkEnd w:id="211"/>
      <w:bookmarkEnd w:id="212"/>
    </w:tbl>
    <w:p>
      <w:pPr>
        <w:pStyle w:val="15"/>
        <w:keepNext w:val="0"/>
        <w:keepLines w:val="0"/>
        <w:pageBreakBefore w:val="0"/>
        <w:widowControl w:val="0"/>
        <w:numPr>
          <w:ilvl w:val="255"/>
          <w:numId w:val="0"/>
        </w:numPr>
        <w:kinsoku/>
        <w:wordWrap/>
        <w:overflowPunct/>
        <w:topLinePunct w:val="0"/>
        <w:autoSpaceDE/>
        <w:autoSpaceDN/>
        <w:bidi w:val="0"/>
        <w:adjustRightInd/>
        <w:snapToGrid/>
        <w:ind w:left="482"/>
        <w:textAlignment w:val="auto"/>
        <w:outlineLvl w:val="2"/>
        <w:rPr>
          <w:rFonts w:hint="eastAsia" w:ascii="仿宋" w:hAnsi="仿宋" w:eastAsia="仿宋" w:cs="仿宋"/>
          <w:b/>
          <w:color w:val="auto"/>
          <w:sz w:val="32"/>
          <w:szCs w:val="32"/>
          <w:highlight w:val="none"/>
        </w:rPr>
      </w:pPr>
      <w:bookmarkStart w:id="213" w:name="_Toc7141"/>
      <w:bookmarkStart w:id="214" w:name="_Toc16855"/>
      <w:bookmarkStart w:id="215" w:name="_Toc32334"/>
      <w:bookmarkStart w:id="216" w:name="_Toc11149"/>
      <w:bookmarkStart w:id="217" w:name="_Toc1849"/>
      <w:bookmarkStart w:id="218" w:name="_Toc14117"/>
      <w:bookmarkStart w:id="219" w:name="_Toc20104"/>
      <w:bookmarkStart w:id="220" w:name="_Toc14619"/>
      <w:bookmarkStart w:id="221" w:name="_Toc100851646"/>
      <w:bookmarkStart w:id="222" w:name="_Toc1359"/>
      <w:r>
        <w:rPr>
          <w:rFonts w:hint="eastAsia" w:ascii="仿宋" w:hAnsi="仿宋" w:eastAsia="仿宋" w:cs="仿宋"/>
          <w:b/>
          <w:color w:val="auto"/>
          <w:sz w:val="32"/>
          <w:szCs w:val="32"/>
          <w:highlight w:val="none"/>
        </w:rPr>
        <w:t>（五）现代农业</w:t>
      </w:r>
      <w:bookmarkEnd w:id="173"/>
      <w:bookmarkEnd w:id="213"/>
      <w:bookmarkEnd w:id="214"/>
      <w:bookmarkEnd w:id="215"/>
      <w:bookmarkEnd w:id="216"/>
      <w:bookmarkEnd w:id="217"/>
      <w:bookmarkEnd w:id="218"/>
      <w:bookmarkEnd w:id="219"/>
      <w:bookmarkEnd w:id="220"/>
      <w:bookmarkEnd w:id="221"/>
      <w:bookmarkEnd w:id="22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加快推进农业现代化、保障粮食安全和促进农民增收为目标，加强种源“卡脖子”技术攻关，加快发展农业绿色发展技术，提高农业发展质量效益和核心竞争力，为蚌埠乡村全面振兴和农业农村现代化提供坚实的科技支撑。</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00" w:lineRule="exact"/>
              <w:jc w:val="center"/>
              <w:rPr>
                <w:rFonts w:asciiTheme="minorEastAsia" w:hAnsiTheme="minorEastAsia" w:eastAsiaTheme="minorEastAsia"/>
                <w:color w:val="auto"/>
                <w:sz w:val="28"/>
                <w:szCs w:val="28"/>
                <w:highlight w:val="none"/>
              </w:rPr>
            </w:pPr>
            <w:r>
              <w:rPr>
                <w:rFonts w:hint="eastAsia" w:ascii="黑体" w:hAnsi="黑体" w:eastAsia="黑体" w:cs="黑体"/>
                <w:b w:val="0"/>
                <w:bCs w:val="0"/>
                <w:color w:val="auto"/>
                <w:sz w:val="28"/>
                <w:szCs w:val="28"/>
                <w:highlight w:val="none"/>
              </w:rPr>
              <w:t>专栏</w:t>
            </w:r>
            <w:r>
              <w:rPr>
                <w:rFonts w:hint="eastAsia" w:ascii="黑体" w:hAnsi="黑体" w:eastAsia="黑体" w:cs="黑体"/>
                <w:b w:val="0"/>
                <w:bCs w:val="0"/>
                <w:color w:val="auto"/>
                <w:sz w:val="28"/>
                <w:szCs w:val="28"/>
                <w:highlight w:val="none"/>
                <w:lang w:val="en-US" w:eastAsia="zh-CN"/>
              </w:rPr>
              <w:t>6</w:t>
            </w:r>
            <w:r>
              <w:rPr>
                <w:rFonts w:hint="eastAsia" w:ascii="黑体" w:hAnsi="黑体" w:eastAsia="黑体" w:cs="黑体"/>
                <w:b w:val="0"/>
                <w:bCs w:val="0"/>
                <w:color w:val="auto"/>
                <w:sz w:val="28"/>
                <w:szCs w:val="28"/>
                <w:highlight w:val="none"/>
              </w:rPr>
              <w:t xml:space="preserve"> 现代农业产业优先发展重点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pStyle w:val="15"/>
              <w:numPr>
                <w:ilvl w:val="255"/>
                <w:numId w:val="0"/>
              </w:numPr>
              <w:spacing w:line="40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1.生物种业：</w:t>
            </w:r>
            <w:r>
              <w:rPr>
                <w:rFonts w:hint="eastAsia" w:ascii="仿宋" w:hAnsi="仿宋" w:eastAsia="仿宋" w:cs="仿宋"/>
                <w:color w:val="auto"/>
                <w:sz w:val="28"/>
                <w:szCs w:val="28"/>
                <w:highlight w:val="none"/>
              </w:rPr>
              <w:t>重点开展水稻、玉米、小麦、大豆等粮食作物优质抗逆高产品种选育与栽培技术示范；开展蔬菜、石榴、花卉、食用菌菌种等特色农业经济作物品种选育栽培技术示范；</w:t>
            </w:r>
            <w:r>
              <w:rPr>
                <w:rFonts w:hint="eastAsia" w:ascii="仿宋" w:hAnsi="仿宋" w:eastAsia="仿宋" w:cs="仿宋"/>
                <w:bCs/>
                <w:color w:val="auto"/>
                <w:sz w:val="28"/>
                <w:szCs w:val="28"/>
                <w:highlight w:val="none"/>
              </w:rPr>
              <w:t>支持优质畜禽品种选育、水产品品种选育和高效、健康养殖等关键技术研究与应用示范</w:t>
            </w:r>
            <w:r>
              <w:rPr>
                <w:rFonts w:hint="eastAsia" w:ascii="仿宋" w:hAnsi="仿宋" w:eastAsia="仿宋" w:cs="仿宋"/>
                <w:color w:val="auto"/>
                <w:sz w:val="28"/>
                <w:szCs w:val="28"/>
                <w:highlight w:val="none"/>
              </w:rPr>
              <w:t>。</w:t>
            </w:r>
          </w:p>
          <w:p>
            <w:pPr>
              <w:spacing w:line="40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2.绿色食品精深加工：</w:t>
            </w:r>
            <w:r>
              <w:rPr>
                <w:rFonts w:hint="eastAsia" w:ascii="仿宋" w:hAnsi="仿宋" w:eastAsia="仿宋" w:cs="仿宋"/>
                <w:color w:val="auto"/>
                <w:sz w:val="28"/>
                <w:szCs w:val="28"/>
                <w:highlight w:val="none"/>
              </w:rPr>
              <w:t>重点开展粮油、畜禽、水产品、食用菌等精深加工技术研究与产业化开发，农产品加工、储运过程中品质和安全控制、评价等技术及标准研究与应用，农产品质量安全溯源技术研究与应用。</w:t>
            </w:r>
          </w:p>
          <w:p>
            <w:pPr>
              <w:spacing w:line="400" w:lineRule="exact"/>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3.现代农业装备与智能农业：</w:t>
            </w:r>
            <w:r>
              <w:rPr>
                <w:rFonts w:hint="eastAsia" w:ascii="仿宋" w:hAnsi="仿宋" w:eastAsia="仿宋" w:cs="仿宋"/>
                <w:color w:val="auto"/>
                <w:sz w:val="28"/>
                <w:szCs w:val="28"/>
                <w:highlight w:val="none"/>
              </w:rPr>
              <w:t>重点开展秸秆利用、农林生物质绿色转化利用及农林废弃物或副产品的综合利用设备的研发及产业化，支持油菜、花生、大豆与薯类等种收环节等田间农机装备及设施园艺设施装备研发，鼓励主要和特色农产品的采摘、干燥、清选、分选、包装及农产品质量、品质检测装备研发。围绕智能农业，重点开展农业信息智能系统、遥感、气象、资源、环境、病虫害等大数据系统开发及应用示范，支持农业生产、流通、消费全产业链可追溯与智能预测服务系统研究与应用，鼓励农产品电子商务智能信息处理、生产经营预警与优化决策研究与应用示范。</w:t>
            </w:r>
          </w:p>
          <w:p>
            <w:pPr>
              <w:spacing w:line="400" w:lineRule="exact"/>
              <w:ind w:firstLine="562" w:firstLineChars="200"/>
              <w:rPr>
                <w:rFonts w:ascii="方正仿宋简体" w:hAnsi="楷体" w:eastAsia="方正仿宋简体" w:cs="方正仿宋简体"/>
                <w:color w:val="auto"/>
                <w:sz w:val="28"/>
                <w:szCs w:val="28"/>
                <w:highlight w:val="none"/>
              </w:rPr>
            </w:pPr>
            <w:r>
              <w:rPr>
                <w:rFonts w:hint="eastAsia" w:ascii="仿宋" w:hAnsi="仿宋" w:eastAsia="仿宋" w:cs="仿宋"/>
                <w:b/>
                <w:bCs/>
                <w:color w:val="auto"/>
                <w:sz w:val="28"/>
                <w:szCs w:val="28"/>
                <w:highlight w:val="none"/>
              </w:rPr>
              <w:t>4.农业生态环保。</w:t>
            </w:r>
            <w:r>
              <w:rPr>
                <w:rFonts w:hint="eastAsia" w:ascii="仿宋" w:hAnsi="仿宋" w:eastAsia="仿宋" w:cs="仿宋"/>
                <w:color w:val="auto"/>
                <w:sz w:val="28"/>
                <w:szCs w:val="28"/>
                <w:highlight w:val="none"/>
              </w:rPr>
              <w:t>围绕土壤改良与修复，重点开展中低产田土壤改良技术及模式研究与应用，以及土壤调理剂、重金属钝化剂、无害化生物降解等高效产品研发与应用，鼓励开展化肥、农药、重金属等农业面源污染综合防治与修复技术集成示范。围绕农作物增产增效，重点开展主要粮食和经济作物的农药减量使用和减时增效技术应用与示范及农药新产品研究及产业化，支持秸秆或畜禽废弃物的有机肥料产品研发以及农林生物质绿色转化与废弃物资源化利用。同时鼓励玉米、小麦、水稻等主要农作物病虫害防治技术研发与应用。</w:t>
            </w:r>
          </w:p>
        </w:tc>
      </w:tr>
    </w:tbl>
    <w:p>
      <w:pPr>
        <w:spacing w:line="400" w:lineRule="exact"/>
        <w:ind w:firstLine="560" w:firstLineChars="200"/>
        <w:rPr>
          <w:rFonts w:ascii="方正仿宋简体" w:hAnsi="方正仿宋简体" w:eastAsia="方正仿宋简体" w:cs="方正仿宋简体"/>
          <w:color w:val="auto"/>
          <w:sz w:val="28"/>
          <w:szCs w:val="28"/>
          <w:highlight w:val="none"/>
        </w:rPr>
      </w:pPr>
    </w:p>
    <w:p>
      <w:pPr>
        <w:numPr>
          <w:ilvl w:val="255"/>
          <w:numId w:val="0"/>
        </w:numPr>
        <w:adjustRightInd w:val="0"/>
        <w:snapToGrid w:val="0"/>
        <w:jc w:val="center"/>
        <w:outlineLvl w:val="1"/>
        <w:rPr>
          <w:rFonts w:hint="eastAsia" w:ascii="楷体" w:hAnsi="楷体" w:eastAsia="楷体" w:cs="楷体"/>
          <w:color w:val="auto"/>
          <w:sz w:val="32"/>
          <w:highlight w:val="none"/>
        </w:rPr>
      </w:pPr>
      <w:bookmarkStart w:id="223" w:name="_Toc100851647"/>
      <w:bookmarkStart w:id="224" w:name="_Toc17431"/>
      <w:bookmarkStart w:id="225" w:name="_Toc21484"/>
      <w:bookmarkStart w:id="226" w:name="_Toc73005653"/>
      <w:bookmarkStart w:id="227" w:name="_Toc24605"/>
      <w:bookmarkStart w:id="228" w:name="_Toc30405"/>
      <w:bookmarkStart w:id="229" w:name="_Toc11638"/>
      <w:bookmarkStart w:id="230" w:name="_Toc23223"/>
      <w:bookmarkStart w:id="231" w:name="_Toc23539"/>
      <w:bookmarkStart w:id="232" w:name="_Toc27413"/>
      <w:bookmarkStart w:id="233" w:name="_Toc671"/>
      <w:bookmarkStart w:id="234" w:name="_Toc20243"/>
      <w:bookmarkStart w:id="235" w:name="_Toc17974"/>
      <w:r>
        <w:rPr>
          <w:rFonts w:hint="eastAsia" w:ascii="楷体" w:hAnsi="楷体" w:eastAsia="楷体" w:cs="楷体"/>
          <w:bCs/>
          <w:color w:val="auto"/>
          <w:sz w:val="32"/>
          <w:szCs w:val="32"/>
          <w:highlight w:val="none"/>
        </w:rPr>
        <w:t>第三节 推动科技成果转移转化，点燃创新发展新引擎</w:t>
      </w:r>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bookmarkStart w:id="236" w:name="_Toc4266"/>
      <w:bookmarkStart w:id="237" w:name="_Toc14772"/>
      <w:bookmarkStart w:id="238" w:name="_Toc7271"/>
      <w:bookmarkStart w:id="239" w:name="_Toc8131"/>
      <w:bookmarkStart w:id="240" w:name="_Toc13716"/>
      <w:bookmarkStart w:id="241" w:name="_Toc6970"/>
      <w:bookmarkStart w:id="242" w:name="_Toc21130"/>
      <w:bookmarkStart w:id="243" w:name="_Toc4207"/>
      <w:bookmarkStart w:id="244" w:name="_Toc26473"/>
      <w:bookmarkStart w:id="245" w:name="_Toc21587"/>
      <w:bookmarkStart w:id="246" w:name="_Toc5085"/>
      <w:r>
        <w:rPr>
          <w:rFonts w:hint="eastAsia" w:ascii="仿宋" w:hAnsi="仿宋" w:eastAsia="仿宋" w:cs="仿宋"/>
          <w:color w:val="auto"/>
          <w:sz w:val="32"/>
          <w:szCs w:val="32"/>
          <w:highlight w:val="none"/>
        </w:rPr>
        <w:t>抢抓国家科技成果转移转化示范区建设机遇，以构建科技成果转移转化体系基础架构为目标，从多主体、全链条、全要素打通科技成果转移转化的通道，促进创新链、产业链与市场需求有机衔接，提升科技成果转化效率和水平，点燃创新发展新引擎。</w:t>
      </w:r>
    </w:p>
    <w:p>
      <w:pPr>
        <w:pStyle w:val="8"/>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（一）完善科技成果供给体系</w:t>
      </w:r>
    </w:p>
    <w:p>
      <w:pPr>
        <w:pStyle w:val="8"/>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1.加大原创科技成果供给。</w:t>
      </w:r>
      <w:r>
        <w:rPr>
          <w:rFonts w:hint="eastAsia" w:ascii="仿宋" w:hAnsi="仿宋" w:eastAsia="仿宋" w:cs="仿宋"/>
          <w:color w:val="auto"/>
          <w:sz w:val="32"/>
          <w:szCs w:val="32"/>
          <w:highlight w:val="none"/>
        </w:rPr>
        <w:t>依托驻蚌高等院校、科研院所、骨干龙头企业及各类研发平台，在硅基生物基</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highlight w:val="none"/>
        </w:rPr>
        <w:t>新材料、新一代信息技术、高端装备制造、生命健康等重点产业领域实施一批科技攻关项目，着力攻克一批制约产业发展的核心关键技术，取得一批具有完全自主知识产权的科技成果，加大原始科技成果供给。</w:t>
      </w:r>
    </w:p>
    <w:p>
      <w:pPr>
        <w:pStyle w:val="8"/>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2.引入科技成果落地转化。</w:t>
      </w:r>
      <w:r>
        <w:rPr>
          <w:rFonts w:hint="eastAsia" w:ascii="仿宋" w:hAnsi="仿宋" w:eastAsia="仿宋" w:cs="仿宋"/>
          <w:color w:val="auto"/>
          <w:sz w:val="32"/>
          <w:szCs w:val="32"/>
          <w:highlight w:val="none"/>
        </w:rPr>
        <w:t>加强大院大所合作，发挥中科院、中科大、合工大、上理工等高校院所在蚌设立的技术转移机构作用，积极融入长三角创新共同体，加快建立有利于科技成果转移转化的制度环境、政策环境，把更多先进成熟科技成果引入蚌埠产业化。鼓励各县区、龙头骨干企业在长三角、珠三角等创新资源丰富地区，设立异地科技企业孵化器和企业创新中心，集聚创新要素，孵化科技成果，待成熟壮大后在蚌产业化。</w:t>
      </w:r>
    </w:p>
    <w:p>
      <w:pPr>
        <w:pStyle w:val="8"/>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（二）构建成果转化服务体系</w:t>
      </w:r>
    </w:p>
    <w:p>
      <w:pPr>
        <w:pStyle w:val="8"/>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1.加快科技大市场建设。</w:t>
      </w:r>
      <w:r>
        <w:rPr>
          <w:rFonts w:hint="eastAsia" w:ascii="仿宋" w:hAnsi="仿宋" w:eastAsia="仿宋" w:cs="仿宋"/>
          <w:color w:val="auto"/>
          <w:sz w:val="32"/>
          <w:szCs w:val="32"/>
          <w:highlight w:val="none"/>
        </w:rPr>
        <w:t>依托蚌埠创新馆组建蚌埠科技大市场，积极与长三角、安徽科技大市场等平台对接，把创新链上的各类资源整合到大市场，为企业创新提供线上线下一站式服务。开展成果发布、项目对接（路演）、合作洽谈、学术论坛、科技金融、科技人才、知识产权、人才培训等科技创新综合服务，力争打造成为立足蚌埠面向皖北的安徽科技大市场区域分中心。</w:t>
      </w:r>
    </w:p>
    <w:p>
      <w:pPr>
        <w:pStyle w:val="8"/>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2.推进科技中介机构发展。</w:t>
      </w:r>
      <w:r>
        <w:rPr>
          <w:rFonts w:hint="eastAsia" w:ascii="仿宋" w:hAnsi="仿宋" w:eastAsia="仿宋" w:cs="仿宋"/>
          <w:color w:val="auto"/>
          <w:sz w:val="32"/>
          <w:szCs w:val="32"/>
          <w:highlight w:val="none"/>
        </w:rPr>
        <w:t>大力发展技术转移服务机构，尤其是专业化、市场化技术转移服务机构建设，加强与长三角地区的合作，从长三角地区引入专业化高水平服务机构，带动我市科技中介服务业整体水平提升。努力培养专业技术转移人才，围绕主导产业发展，培养一批专业化技术经纪人队伍，着力针对性精准对接。探索开展科技专员选派工作，从高校遴选一批责任心强的青年教师，到科技型中小企业挂职科技副总或科技成果转化职业经理人，帮助企业开展产学研合作。</w:t>
      </w:r>
    </w:p>
    <w:p>
      <w:pPr>
        <w:pStyle w:val="8"/>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3.着力孵化器高质量发展。</w:t>
      </w:r>
      <w:r>
        <w:rPr>
          <w:rFonts w:hint="eastAsia" w:ascii="仿宋" w:hAnsi="仿宋" w:eastAsia="仿宋" w:cs="仿宋"/>
          <w:color w:val="auto"/>
          <w:sz w:val="32"/>
          <w:szCs w:val="32"/>
          <w:highlight w:val="none"/>
        </w:rPr>
        <w:t>聚焦专业科技企业孵化器建设，支持龙头企业、高校、科研院所等各类创新主体，围绕新材料等实体产业构建一批专业化、高水平的科技企业孵化器，完善创新创业孵化体系，着力推进MEMS孵化园、医药产业园建设。提升孵化器服务能力，支持综合性孵化器围绕在孵企业产业领域提升专业孵化水平，大力发展“创业导师+专业孵化+天使投资”等新型孵化模式，不断完善“众创空间—孵化器—加速器—专业园”创业孵化链条。</w:t>
      </w:r>
    </w:p>
    <w:p>
      <w:pPr>
        <w:pStyle w:val="8"/>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（三）建立促进成果转化激励体系</w:t>
      </w:r>
    </w:p>
    <w:p>
      <w:pPr>
        <w:pStyle w:val="8"/>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1.加大政策支持。</w:t>
      </w:r>
      <w:r>
        <w:rPr>
          <w:rFonts w:hint="eastAsia" w:ascii="仿宋" w:hAnsi="仿宋" w:eastAsia="仿宋" w:cs="仿宋"/>
          <w:color w:val="auto"/>
          <w:sz w:val="32"/>
          <w:szCs w:val="32"/>
          <w:highlight w:val="none"/>
        </w:rPr>
        <w:t>对企业购买科技成果并产业化的，按该成果对地方经济贡献给予奖励；继续做好“首台套”“首批次”“首版次”的政策引导。建立全市重大新产品目录，鼓励企业把本市重大新产品纳入供应链采购，对企业首次采购重大新产品的，给予一定支持。多渠道支持科技型企业促进科技成果转化。对技术转移服务机构开展技术成果交易服务并在蚌实现转化，按照企业实际出资额的一定比例给予奖补，奖励资金安排一定比例，对在促进科技成果转移转化中做出贡献的个人给予奖励。</w:t>
      </w:r>
    </w:p>
    <w:p>
      <w:pPr>
        <w:pStyle w:val="8"/>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2.强化金融扶持。</w:t>
      </w:r>
      <w:r>
        <w:rPr>
          <w:rFonts w:hint="eastAsia" w:ascii="仿宋" w:hAnsi="仿宋" w:eastAsia="仿宋" w:cs="仿宋"/>
          <w:color w:val="auto"/>
          <w:sz w:val="32"/>
          <w:szCs w:val="32"/>
          <w:highlight w:val="none"/>
        </w:rPr>
        <w:t>发挥成果转化子基金作用，围绕新兴产业发展，支持一批科技成果在蚌产业化。整合市级产业引导基金，设立若干产业发展子基金，支持重大科技成果落地产业化。积极推进知识产权质押融资、知识产权证券化、科技小额贷款等新型金融业态，建立符合科技成果转化需求的信贷、保险和担保联动机制。支持保险公司围绕科技成果转化设立新的险种，对企业购买新险种的给予补助，对保险公司新险种出现亏损时，给予补贴。鼓励引导更多金融机构设立更多促进科技成果转化的金融品种，设立风险补偿金，对于金融机构开展相关业务出现损失时，给予一定补助。</w:t>
      </w:r>
    </w:p>
    <w:p>
      <w:pPr>
        <w:ind w:left="641"/>
        <w:jc w:val="center"/>
        <w:outlineLvl w:val="1"/>
        <w:rPr>
          <w:rFonts w:hint="eastAsia" w:ascii="楷体" w:hAnsi="楷体" w:eastAsia="楷体" w:cs="楷体"/>
          <w:bCs/>
          <w:color w:val="auto"/>
          <w:sz w:val="32"/>
          <w:szCs w:val="32"/>
          <w:highlight w:val="none"/>
        </w:rPr>
      </w:pPr>
      <w:bookmarkStart w:id="247" w:name="_Toc100851648"/>
      <w:r>
        <w:rPr>
          <w:rFonts w:hint="eastAsia" w:ascii="楷体" w:hAnsi="楷体" w:eastAsia="楷体" w:cs="楷体"/>
          <w:bCs/>
          <w:color w:val="auto"/>
          <w:sz w:val="32"/>
          <w:szCs w:val="32"/>
          <w:highlight w:val="none"/>
        </w:rPr>
        <w:t>第四节 培优科技创新载体，拓展创新发展新空间</w:t>
      </w:r>
      <w:bookmarkEnd w:id="247"/>
    </w:p>
    <w:p>
      <w:pPr>
        <w:pStyle w:val="8"/>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强化高新区示范引领作用，大力推进特色园区建设，打造特色产业集群，积极开展创新型县建设，不断拓展创新发展新空间。</w:t>
      </w:r>
    </w:p>
    <w:p>
      <w:pPr>
        <w:pStyle w:val="15"/>
        <w:numPr>
          <w:ilvl w:val="255"/>
          <w:numId w:val="0"/>
        </w:numPr>
        <w:ind w:left="630"/>
        <w:outlineLvl w:val="2"/>
        <w:rPr>
          <w:rFonts w:hint="eastAsia" w:ascii="仿宋" w:hAnsi="仿宋" w:eastAsia="仿宋" w:cs="仿宋"/>
          <w:b/>
          <w:bCs/>
          <w:color w:val="auto"/>
          <w:sz w:val="32"/>
          <w:szCs w:val="32"/>
          <w:highlight w:val="none"/>
        </w:rPr>
      </w:pPr>
      <w:bookmarkStart w:id="248" w:name="_Toc100851649"/>
      <w:r>
        <w:rPr>
          <w:rFonts w:hint="eastAsia" w:ascii="仿宋" w:hAnsi="仿宋" w:eastAsia="仿宋" w:cs="仿宋"/>
          <w:b/>
          <w:bCs/>
          <w:color w:val="auto"/>
          <w:sz w:val="32"/>
          <w:szCs w:val="32"/>
          <w:highlight w:val="none"/>
        </w:rPr>
        <w:t>（一）突出创新园区地位</w:t>
      </w:r>
      <w:bookmarkEnd w:id="248"/>
    </w:p>
    <w:p>
      <w:pPr>
        <w:widowControl/>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1.强化高新区示范引领。</w:t>
      </w:r>
      <w:r>
        <w:rPr>
          <w:rFonts w:hint="eastAsia" w:ascii="仿宋" w:hAnsi="仿宋" w:eastAsia="仿宋" w:cs="仿宋"/>
          <w:bCs/>
          <w:color w:val="auto"/>
          <w:sz w:val="32"/>
          <w:szCs w:val="32"/>
          <w:highlight w:val="none"/>
        </w:rPr>
        <w:t>紧抓长三角一体化、中部地区崛起、淮河生态经济带等重大战略机遇，紧扣合芜蚌国家自主创新示范区发展目标，发挥中国（安徽）自由贸易试验区</w:t>
      </w:r>
      <w:r>
        <w:rPr>
          <w:rFonts w:hint="eastAsia" w:ascii="仿宋" w:hAnsi="仿宋" w:eastAsia="仿宋" w:cs="仿宋"/>
          <w:color w:val="auto"/>
          <w:sz w:val="32"/>
          <w:szCs w:val="32"/>
          <w:highlight w:val="none"/>
        </w:rPr>
        <w:t>蚌埠片区重要作用，强化蚌埠高新区战略先导地位，打造以蚌埠高新区为引领带动的“一区五园”发展格局。广泛吸纳整合优质创新资源在蚌埠高新区集聚，实施重点建设工程，形成蚌埠高新区的先行区、引领区、生态区和示范区的“四区”优势。坚持科技创新与制度创新“双轮驱动”，在营商环境优化、创新政策体系完善等方面开展先行先试工程，努力打造科技体制改革和创新政策先行区。实施战略性新兴产业发展重点工程，努力打造产业创新升级引领区。实施创新创业培育工程，打造创新要素集聚、创新资源开放的创新创业生态体系，努力建成大众创新创业生态区。加快推进合芜蚌国家科技成果转移转化示范区建设，加大科技成果供给力度，努力打造科技成果转化示范区。蚌埠高新区将被打造为全市创新的标志性和先导性区域，凸显在全市的示范引领地位。</w:t>
      </w:r>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2.优化特色产业园布局。</w:t>
      </w:r>
      <w:r>
        <w:rPr>
          <w:rFonts w:hint="eastAsia" w:ascii="仿宋" w:hAnsi="仿宋" w:eastAsia="仿宋" w:cs="仿宋"/>
          <w:bCs/>
          <w:color w:val="auto"/>
          <w:sz w:val="32"/>
          <w:szCs w:val="32"/>
          <w:highlight w:val="none"/>
        </w:rPr>
        <w:t>依托中国（安徽）自由贸易试验区蚌埠片区，</w:t>
      </w:r>
      <w:r>
        <w:rPr>
          <w:rFonts w:hint="eastAsia" w:ascii="仿宋" w:hAnsi="仿宋" w:eastAsia="仿宋" w:cs="仿宋"/>
          <w:color w:val="auto"/>
          <w:sz w:val="32"/>
          <w:szCs w:val="32"/>
          <w:highlight w:val="none"/>
        </w:rPr>
        <w:t>探索一区多园、共建产业园区等协同发展模式。加强各类要素集聚，化解在资金、人才、技术等方面的瓶颈约束，协调跨园区合作和利益分歧问题。着力优化园区产业结构，夯实园区基础设施承载能力，支持园区、基地、平台、企业多源多点对接创新资源，加大园区创新成果转化力度，完善园区创新体制改革，依托园区特色建设承接产业转移示范区，重点打造高能级高技术的省级共建园区。重点强化对园区产业集群的统筹布局，以“园中园”形式规划建设具有先发优势的硅基、生物基新材料、新一代信息技术、高端装备制造四大特色战略产业集群创新园，紧扣产业链供应链部署创新链，坚持龙头企业带</w:t>
      </w:r>
      <w:r>
        <w:rPr>
          <w:rFonts w:hint="eastAsia" w:ascii="仿宋" w:hAnsi="仿宋" w:eastAsia="仿宋" w:cs="仿宋"/>
          <w:color w:val="auto"/>
          <w:sz w:val="32"/>
          <w:szCs w:val="32"/>
          <w:highlight w:val="none"/>
          <w:lang w:val="en-US" w:eastAsia="zh-CN"/>
        </w:rPr>
        <w:t>动</w:t>
      </w:r>
      <w:r>
        <w:rPr>
          <w:rFonts w:hint="eastAsia" w:ascii="仿宋" w:hAnsi="仿宋" w:eastAsia="仿宋" w:cs="仿宋"/>
          <w:color w:val="auto"/>
          <w:sz w:val="32"/>
          <w:szCs w:val="32"/>
          <w:highlight w:val="none"/>
        </w:rPr>
        <w:t>战略，逐步延伸产业链，提升价值链，提高创新主体集群水平和产业核心竞争力，建立并完善市场化的联动传导与对接机制、创新成果收益分配和激励机制、政企长久合作等产业联动机制，实现一区多园产业互补互动与融合发展，构建创新园区网络群，带动区域产业结构转型升级。</w:t>
      </w:r>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3.深化园区创新要素集聚。</w:t>
      </w:r>
      <w:r>
        <w:rPr>
          <w:rFonts w:hint="eastAsia" w:ascii="仿宋" w:hAnsi="仿宋" w:eastAsia="仿宋" w:cs="仿宋"/>
          <w:color w:val="auto"/>
          <w:sz w:val="32"/>
          <w:szCs w:val="32"/>
          <w:highlight w:val="none"/>
        </w:rPr>
        <w:t>抢抓建设</w:t>
      </w:r>
      <w:r>
        <w:rPr>
          <w:rFonts w:hint="eastAsia" w:ascii="仿宋" w:hAnsi="仿宋" w:eastAsia="仿宋" w:cs="仿宋"/>
          <w:color w:val="auto"/>
          <w:sz w:val="32"/>
          <w:szCs w:val="32"/>
          <w:highlight w:val="none"/>
          <w:lang w:val="en-US" w:eastAsia="zh-CN"/>
        </w:rPr>
        <w:t>国家创新型城市、</w:t>
      </w:r>
      <w:r>
        <w:rPr>
          <w:rFonts w:hint="eastAsia" w:ascii="仿宋" w:hAnsi="仿宋" w:eastAsia="仿宋" w:cs="仿宋"/>
          <w:color w:val="auto"/>
          <w:sz w:val="32"/>
          <w:szCs w:val="32"/>
          <w:highlight w:val="none"/>
        </w:rPr>
        <w:t>中国（安徽）自由贸易试验区、皖北承接产业转移聚集区等重大机遇，把创新作为推动和引领发展的第一动力，做强科技创新平台，引导人才、技术等创新要素加快集聚，打造创新高地，提升产业发展实力，推动园区争先进位。聚集高质量发展的特色产业，实施战略性新兴产业发展。实施科技成果转移转化驱动工程，加快建立以市场为导向的科技成果转化机制。激发科教资源创新创业活力，实施创新创业培育，打造创新载体丰富、创业服务专业、创新资源开放的创新创业体系。完善园区创新型技术人才引进政策，建设一批高层次科技人才集聚基地、海外高端创新人才高地和人力资源产业园，推进创新人才引领型园区试点建设，促成平台凝聚人才、人才服务园区、园区带动发展的良性循环。加强园区与高端人才智力合作，设立海外人才“绿色通道”，重点引进硅基、生物基等专技人才和复合型人才，为园区高质量发展提高智力支撑。</w:t>
      </w:r>
    </w:p>
    <w:bookmarkEnd w:id="236"/>
    <w:bookmarkEnd w:id="237"/>
    <w:bookmarkEnd w:id="238"/>
    <w:bookmarkEnd w:id="239"/>
    <w:bookmarkEnd w:id="240"/>
    <w:bookmarkEnd w:id="241"/>
    <w:bookmarkEnd w:id="242"/>
    <w:bookmarkEnd w:id="243"/>
    <w:bookmarkEnd w:id="244"/>
    <w:bookmarkEnd w:id="245"/>
    <w:bookmarkEnd w:id="246"/>
    <w:p>
      <w:pPr>
        <w:ind w:firstLine="643" w:firstLineChars="200"/>
        <w:outlineLvl w:val="2"/>
        <w:rPr>
          <w:rFonts w:hint="eastAsia" w:ascii="仿宋" w:hAnsi="仿宋" w:eastAsia="仿宋" w:cs="仿宋"/>
          <w:b/>
          <w:color w:val="auto"/>
          <w:sz w:val="32"/>
          <w:szCs w:val="32"/>
          <w:highlight w:val="none"/>
        </w:rPr>
      </w:pPr>
      <w:bookmarkStart w:id="249" w:name="_Toc6545"/>
      <w:bookmarkStart w:id="250" w:name="_Toc23737"/>
      <w:bookmarkStart w:id="251" w:name="_Toc17252"/>
      <w:bookmarkStart w:id="252" w:name="_Toc29422"/>
      <w:bookmarkStart w:id="253" w:name="_Toc22582"/>
      <w:bookmarkStart w:id="254" w:name="_Toc32063"/>
      <w:bookmarkStart w:id="255" w:name="_Toc73005658"/>
      <w:bookmarkStart w:id="256" w:name="_Toc9412"/>
      <w:bookmarkStart w:id="257" w:name="_Toc5800"/>
      <w:bookmarkStart w:id="258" w:name="_Toc100851650"/>
      <w:bookmarkStart w:id="259" w:name="_Toc5902"/>
      <w:r>
        <w:rPr>
          <w:rFonts w:hint="eastAsia" w:ascii="仿宋" w:hAnsi="仿宋" w:eastAsia="仿宋" w:cs="仿宋"/>
          <w:b/>
          <w:color w:val="auto"/>
          <w:sz w:val="32"/>
          <w:szCs w:val="32"/>
          <w:highlight w:val="none"/>
        </w:rPr>
        <w:t>（二）推进创新型县建设</w:t>
      </w:r>
      <w:bookmarkEnd w:id="249"/>
      <w:bookmarkEnd w:id="250"/>
      <w:bookmarkEnd w:id="251"/>
      <w:bookmarkEnd w:id="252"/>
      <w:bookmarkEnd w:id="253"/>
      <w:bookmarkEnd w:id="254"/>
      <w:bookmarkEnd w:id="255"/>
      <w:bookmarkEnd w:id="256"/>
      <w:bookmarkEnd w:id="257"/>
      <w:bookmarkEnd w:id="258"/>
      <w:bookmarkEnd w:id="259"/>
    </w:p>
    <w:p>
      <w:pPr>
        <w:ind w:firstLine="643" w:firstLineChars="200"/>
        <w:rPr>
          <w:rFonts w:hint="eastAsia" w:ascii="仿宋" w:hAnsi="仿宋" w:eastAsia="仿宋" w:cs="仿宋"/>
          <w:bCs/>
          <w:color w:val="auto"/>
          <w:sz w:val="32"/>
          <w:szCs w:val="32"/>
          <w:highlight w:val="none"/>
        </w:rPr>
      </w:pPr>
      <w:r>
        <w:rPr>
          <w:rFonts w:hint="eastAsia" w:ascii="仿宋" w:hAnsi="仿宋" w:eastAsia="仿宋" w:cs="仿宋"/>
          <w:b/>
          <w:color w:val="auto"/>
          <w:sz w:val="32"/>
          <w:szCs w:val="32"/>
          <w:highlight w:val="none"/>
        </w:rPr>
        <w:t>1.促进县域创新要素集聚。</w:t>
      </w:r>
      <w:r>
        <w:rPr>
          <w:rFonts w:hint="eastAsia" w:ascii="仿宋" w:hAnsi="仿宋" w:eastAsia="仿宋" w:cs="仿宋"/>
          <w:color w:val="auto"/>
          <w:sz w:val="32"/>
          <w:szCs w:val="32"/>
          <w:highlight w:val="none"/>
        </w:rPr>
        <w:t>支持三县加强产学研合作，集聚省内外人才、资金、技术和信息等创新资源。鼓励三县实施更加积极、开放、有效的人才政策，创新人才引进模式，加速创新人才集聚。深入推行科技特派员制度，培育新型职业农民。</w:t>
      </w:r>
      <w:r>
        <w:rPr>
          <w:rFonts w:hint="eastAsia" w:ascii="仿宋" w:hAnsi="仿宋" w:eastAsia="仿宋" w:cs="仿宋"/>
          <w:bCs/>
          <w:color w:val="auto"/>
          <w:sz w:val="32"/>
          <w:szCs w:val="32"/>
          <w:highlight w:val="none"/>
        </w:rPr>
        <w:t>加快三县科技成果转移转化，建设一批科技成果产业化基地，推动企业与高校、科研院所联合设立研发机构或技术转移机构，共同开展研究开发、成果应用与推广、标准研究与制定等，培育县域新的经济增长点。</w:t>
      </w:r>
    </w:p>
    <w:p>
      <w:pPr>
        <w:ind w:firstLine="643" w:firstLineChars="200"/>
        <w:rPr>
          <w:rFonts w:hint="eastAsia" w:ascii="仿宋" w:hAnsi="仿宋" w:eastAsia="仿宋" w:cs="仿宋"/>
          <w:bCs/>
          <w:color w:val="auto"/>
          <w:sz w:val="32"/>
          <w:szCs w:val="32"/>
          <w:highlight w:val="none"/>
        </w:rPr>
      </w:pPr>
      <w:r>
        <w:rPr>
          <w:rFonts w:hint="eastAsia" w:ascii="仿宋" w:hAnsi="仿宋" w:eastAsia="仿宋" w:cs="仿宋"/>
          <w:b/>
          <w:bCs/>
          <w:color w:val="auto"/>
          <w:sz w:val="32"/>
          <w:szCs w:val="32"/>
          <w:highlight w:val="none"/>
        </w:rPr>
        <w:t>2.强化农业科技园区建设。</w:t>
      </w:r>
      <w:r>
        <w:rPr>
          <w:rFonts w:hint="eastAsia" w:ascii="仿宋" w:hAnsi="仿宋" w:eastAsia="仿宋" w:cs="仿宋"/>
          <w:color w:val="auto"/>
          <w:sz w:val="32"/>
          <w:szCs w:val="32"/>
          <w:highlight w:val="none"/>
        </w:rPr>
        <w:t>加快推进蚌埠国家农业科技园区建设，全面提升固镇、五河两县省级农业科技园区建设水平，按照 “一园区一主导产业”的发展思路，开展面向市场的新型农业技术研发、示范与推广。积极探索创新驱动现代农业发展的新路径、新模式，培育具有较强竞争力的特色产业集群，提高农业产业竞争力。完善新型农业科技社会化服务体系，提高农业科技服务效能。加速先进技术的示范推广和科技成果的转移转化。</w:t>
      </w:r>
    </w:p>
    <w:p>
      <w:pPr>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3.推进科技助力乡村振兴。</w:t>
      </w:r>
      <w:r>
        <w:rPr>
          <w:rFonts w:hint="eastAsia" w:ascii="仿宋" w:hAnsi="仿宋" w:eastAsia="仿宋" w:cs="仿宋"/>
          <w:color w:val="auto"/>
          <w:sz w:val="32"/>
          <w:szCs w:val="32"/>
          <w:highlight w:val="none"/>
        </w:rPr>
        <w:t>加强科技与产业、就业等融合，实现巩固拓展脱贫攻坚成果同乡村振兴有效衔接，助力乡村振兴。通过实施科技特派员五年行动计划等措施，提供便捷精准的科技服务，为加快推进农业农村现代化和乡村振兴产业提质增效注入新动能。大力发展数字农业，实施智慧农业林业水利气象工程，推进物联网试验示范和遥感技术在农业中的应用；完善农村电子商务的公共基础设施，鼓励各类市场主体创新发展农业产业模式。鼓励农业科技与特色文化旅游、特色农产品等重点领域融合，通过试点试验和典型示范，实现农业科技推广应用由点到线到面。</w:t>
      </w:r>
    </w:p>
    <w:p>
      <w:pPr>
        <w:ind w:left="641"/>
        <w:jc w:val="center"/>
        <w:outlineLvl w:val="1"/>
        <w:rPr>
          <w:rFonts w:hint="eastAsia" w:ascii="楷体" w:hAnsi="楷体" w:eastAsia="楷体" w:cs="楷体"/>
          <w:bCs/>
          <w:color w:val="auto"/>
          <w:sz w:val="32"/>
          <w:szCs w:val="32"/>
          <w:highlight w:val="none"/>
        </w:rPr>
      </w:pPr>
      <w:bookmarkStart w:id="260" w:name="_Toc24138"/>
      <w:bookmarkStart w:id="261" w:name="_Toc29299"/>
      <w:bookmarkStart w:id="262" w:name="_Toc2097"/>
      <w:bookmarkStart w:id="263" w:name="_Toc1817"/>
      <w:bookmarkStart w:id="264" w:name="_Toc1679"/>
      <w:bookmarkStart w:id="265" w:name="_Toc100851651"/>
      <w:bookmarkStart w:id="266" w:name="_Toc24140"/>
      <w:bookmarkStart w:id="267" w:name="_Toc9820"/>
      <w:bookmarkStart w:id="268" w:name="_Toc73005661"/>
      <w:bookmarkStart w:id="269" w:name="_Toc16560"/>
      <w:bookmarkStart w:id="270" w:name="_Toc30759"/>
      <w:bookmarkStart w:id="271" w:name="_Toc20125"/>
      <w:bookmarkStart w:id="272" w:name="_Toc28452"/>
    </w:p>
    <w:p>
      <w:pPr>
        <w:ind w:left="641"/>
        <w:jc w:val="center"/>
        <w:outlineLvl w:val="1"/>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第五节  聚力人才强市战略，构筑创新人才新高地</w:t>
      </w:r>
      <w:bookmarkEnd w:id="260"/>
      <w:bookmarkEnd w:id="261"/>
      <w:bookmarkEnd w:id="262"/>
      <w:bookmarkEnd w:id="263"/>
      <w:bookmarkEnd w:id="264"/>
      <w:bookmarkEnd w:id="265"/>
      <w:bookmarkEnd w:id="266"/>
      <w:bookmarkEnd w:id="267"/>
      <w:bookmarkEnd w:id="268"/>
      <w:bookmarkEnd w:id="269"/>
      <w:bookmarkEnd w:id="270"/>
      <w:bookmarkEnd w:id="271"/>
      <w:bookmarkEnd w:id="272"/>
    </w:p>
    <w:p>
      <w:pPr>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推进人才强市战略，优化人才引育体系，健全人才激励机制，提升人才服务水平，打造创新人才新高地，为建设</w:t>
      </w:r>
      <w:r>
        <w:rPr>
          <w:rFonts w:hint="eastAsia" w:ascii="仿宋" w:hAnsi="仿宋" w:eastAsia="仿宋" w:cs="仿宋"/>
          <w:bCs/>
          <w:color w:val="auto"/>
          <w:sz w:val="32"/>
          <w:szCs w:val="32"/>
          <w:highlight w:val="none"/>
          <w:lang w:val="en-US" w:eastAsia="zh-CN"/>
        </w:rPr>
        <w:t>国家创新型城市、</w:t>
      </w:r>
      <w:r>
        <w:rPr>
          <w:rFonts w:hint="eastAsia" w:ascii="仿宋" w:hAnsi="仿宋" w:eastAsia="仿宋" w:cs="仿宋"/>
          <w:bCs/>
          <w:color w:val="auto"/>
          <w:sz w:val="32"/>
          <w:szCs w:val="32"/>
          <w:highlight w:val="none"/>
        </w:rPr>
        <w:t>中国（安徽）自由贸易试验区蚌埠片区、合芜蚌国家自主创新示范区、科技成果转移转化示范区提供人才保障和智力支持。</w:t>
      </w:r>
    </w:p>
    <w:p>
      <w:pPr>
        <w:ind w:firstLine="643" w:firstLineChars="200"/>
        <w:outlineLvl w:val="2"/>
        <w:rPr>
          <w:rFonts w:hint="eastAsia" w:ascii="仿宋" w:hAnsi="仿宋" w:eastAsia="仿宋" w:cs="仿宋"/>
          <w:b/>
          <w:color w:val="auto"/>
          <w:sz w:val="32"/>
          <w:szCs w:val="32"/>
          <w:highlight w:val="none"/>
        </w:rPr>
      </w:pPr>
      <w:bookmarkStart w:id="273" w:name="_Toc30412"/>
      <w:bookmarkStart w:id="274" w:name="_Toc22814"/>
      <w:bookmarkStart w:id="275" w:name="_Toc2496"/>
      <w:bookmarkStart w:id="276" w:name="_Toc17772"/>
      <w:bookmarkStart w:id="277" w:name="_Toc100851652"/>
      <w:bookmarkStart w:id="278" w:name="_Toc17984"/>
      <w:bookmarkStart w:id="279" w:name="_Toc1498"/>
      <w:bookmarkStart w:id="280" w:name="_Toc18"/>
      <w:bookmarkStart w:id="281" w:name="_Toc15041"/>
      <w:bookmarkStart w:id="282" w:name="_Toc7565"/>
      <w:bookmarkStart w:id="283" w:name="_Toc2098"/>
      <w:bookmarkStart w:id="284" w:name="_Toc9156"/>
      <w:bookmarkStart w:id="285" w:name="_Toc73005662"/>
      <w:r>
        <w:rPr>
          <w:rFonts w:hint="eastAsia" w:ascii="仿宋" w:hAnsi="仿宋" w:eastAsia="仿宋" w:cs="仿宋"/>
          <w:b/>
          <w:color w:val="auto"/>
          <w:sz w:val="32"/>
          <w:szCs w:val="32"/>
          <w:highlight w:val="none"/>
        </w:rPr>
        <w:t>（一）优化创新人才引育体系</w:t>
      </w:r>
      <w:bookmarkEnd w:id="273"/>
      <w:bookmarkEnd w:id="274"/>
      <w:bookmarkEnd w:id="275"/>
      <w:bookmarkEnd w:id="276"/>
      <w:bookmarkEnd w:id="277"/>
      <w:bookmarkEnd w:id="278"/>
      <w:bookmarkEnd w:id="279"/>
      <w:bookmarkEnd w:id="280"/>
      <w:bookmarkEnd w:id="281"/>
      <w:bookmarkEnd w:id="282"/>
      <w:bookmarkEnd w:id="283"/>
      <w:bookmarkEnd w:id="284"/>
      <w:bookmarkEnd w:id="285"/>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1.着力引进高层次创新人才。</w:t>
      </w:r>
      <w:r>
        <w:rPr>
          <w:rFonts w:hint="eastAsia" w:ascii="仿宋" w:hAnsi="仿宋" w:eastAsia="仿宋" w:cs="仿宋"/>
          <w:bCs/>
          <w:color w:val="auto"/>
          <w:sz w:val="32"/>
          <w:szCs w:val="32"/>
          <w:highlight w:val="none"/>
        </w:rPr>
        <w:t>发挥合芜蚌“人才特区”优势，以“高精尖缺”为导向，实施科技创业领军人才（团队）集聚计划。大力实施“1111”人才引育计划，出台中国（安徽）自由贸易试验区蚌埠片区人才发展措施，聚焦重点产业需求，加大海外高层次人才引进力度。重点聚焦硅基、生物基新材料、新一代信息技术、高端装备制造等新兴产业领域，推动建设高质量产学研合作平台，加快创新人才资源汇聚。加强与中国科学技术大学、合肥工业大学等合作，通过产学研合作项目形式，借助高校院所的科研人员力量，推动企业创新能力提升。充分发挥企业引才的主体作用，推进科技招商与人才招商协同发展，引进一批具有国际视野和资源整合能力、能推动和引领产业发展的领军人才和创新创业团队。到 2025 年，新遴选支持科技创业领军人才(团队)50 个以上。积极推动企业与院士共建安徽省院士工作站。</w:t>
      </w:r>
    </w:p>
    <w:p>
      <w:pPr>
        <w:ind w:firstLine="643" w:firstLineChars="200"/>
        <w:rPr>
          <w:rFonts w:hint="eastAsia" w:ascii="仿宋" w:hAnsi="仿宋" w:eastAsia="仿宋" w:cs="仿宋"/>
          <w:bCs/>
          <w:color w:val="auto"/>
          <w:sz w:val="32"/>
          <w:szCs w:val="32"/>
          <w:highlight w:val="none"/>
        </w:rPr>
      </w:pPr>
      <w:r>
        <w:rPr>
          <w:rFonts w:hint="eastAsia" w:ascii="仿宋" w:hAnsi="仿宋" w:eastAsia="仿宋" w:cs="仿宋"/>
          <w:b/>
          <w:bCs/>
          <w:color w:val="auto"/>
          <w:sz w:val="32"/>
          <w:szCs w:val="32"/>
          <w:highlight w:val="none"/>
        </w:rPr>
        <w:t>2.大力培育急需紧缺人才。</w:t>
      </w:r>
      <w:r>
        <w:rPr>
          <w:rFonts w:hint="eastAsia" w:ascii="仿宋" w:hAnsi="仿宋" w:eastAsia="仿宋" w:cs="仿宋"/>
          <w:bCs/>
          <w:color w:val="auto"/>
          <w:sz w:val="32"/>
          <w:szCs w:val="32"/>
          <w:highlight w:val="none"/>
        </w:rPr>
        <w:t>深入推进市“大禹英才”、“3221”产业创新团队、珠城工匠、技能大师工作室、市政府特殊津贴等人才工程建设，落实国家职业教育改革方案，完善职业教育体制机制，补齐职业教育发展短板，壮大高技能人才和卓越工程师队伍。破除市职教园管理体制障碍，更好发挥职教园协调管理办公室职能。推进规划建设皖北职教城，设立公办高等职业院校，加大职业教育经费投入，保障实训室和师资配备。推进建设淮河教育联合体，充实高技能人才储备。适度加大对教育、医疗卫生领域和急需紧缺重点产业高端人才的政策支持力度。承接“海外金蓝领援皖”计划，聘请海外技能专家来蚌职业院校任教。发挥高校培养基础研究人才的主力军作用，落实“产学融合”校企合作”人才培育新模式，</w:t>
      </w:r>
      <w:bookmarkStart w:id="286" w:name="_Hlk98117673"/>
      <w:r>
        <w:rPr>
          <w:rFonts w:hint="eastAsia" w:ascii="仿宋" w:hAnsi="仿宋" w:eastAsia="仿宋" w:cs="仿宋"/>
          <w:bCs/>
          <w:color w:val="auto"/>
          <w:sz w:val="32"/>
          <w:szCs w:val="32"/>
          <w:highlight w:val="none"/>
        </w:rPr>
        <w:t>支持驻蚌高校加强新工科专业建设，</w:t>
      </w:r>
      <w:bookmarkStart w:id="287" w:name="_Hlk98117928"/>
      <w:r>
        <w:rPr>
          <w:rFonts w:hint="eastAsia" w:ascii="仿宋" w:hAnsi="仿宋" w:eastAsia="仿宋" w:cs="仿宋"/>
          <w:bCs/>
          <w:color w:val="auto"/>
          <w:sz w:val="32"/>
          <w:szCs w:val="32"/>
          <w:highlight w:val="none"/>
        </w:rPr>
        <w:t>贯彻实施《推动结构优化建设高质量高等教育体系共同行动方案》与《安徽省支持高校学科建设若干政策》</w:t>
      </w:r>
      <w:bookmarkEnd w:id="287"/>
      <w:r>
        <w:rPr>
          <w:rFonts w:hint="eastAsia" w:ascii="仿宋" w:hAnsi="仿宋" w:eastAsia="仿宋" w:cs="仿宋"/>
          <w:bCs/>
          <w:color w:val="auto"/>
          <w:sz w:val="32"/>
          <w:szCs w:val="32"/>
          <w:highlight w:val="none"/>
        </w:rPr>
        <w:t>，</w:t>
      </w:r>
      <w:bookmarkEnd w:id="286"/>
      <w:r>
        <w:rPr>
          <w:rFonts w:hint="eastAsia" w:ascii="仿宋" w:hAnsi="仿宋" w:eastAsia="仿宋" w:cs="仿宋"/>
          <w:bCs/>
          <w:color w:val="auto"/>
          <w:sz w:val="32"/>
          <w:szCs w:val="32"/>
          <w:highlight w:val="none"/>
        </w:rPr>
        <w:t>面向主导产业的用工需求，形成企业提“紧缺人才需求”与院所“设置相关专业”的良性互动，着力培养战略科技人才、科技领军人才、青年科技人才和基础研究人</w:t>
      </w:r>
      <w:r>
        <w:rPr>
          <w:rFonts w:hint="eastAsia" w:ascii="仿宋" w:hAnsi="仿宋" w:eastAsia="仿宋" w:cs="仿宋"/>
          <w:bCs/>
          <w:color w:val="auto"/>
          <w:sz w:val="32"/>
          <w:szCs w:val="32"/>
          <w:highlight w:val="none"/>
          <w:lang w:val="en-US" w:eastAsia="zh-CN"/>
        </w:rPr>
        <w:t>才</w:t>
      </w:r>
      <w:r>
        <w:rPr>
          <w:rFonts w:hint="eastAsia" w:ascii="仿宋" w:hAnsi="仿宋" w:eastAsia="仿宋" w:cs="仿宋"/>
          <w:bCs/>
          <w:color w:val="auto"/>
          <w:sz w:val="32"/>
          <w:szCs w:val="32"/>
          <w:highlight w:val="none"/>
        </w:rPr>
        <w:t>，服务本地经济发展。</w:t>
      </w:r>
    </w:p>
    <w:p>
      <w:pPr>
        <w:ind w:firstLine="643" w:firstLineChars="200"/>
        <w:outlineLvl w:val="2"/>
        <w:rPr>
          <w:rFonts w:hint="eastAsia" w:ascii="仿宋" w:hAnsi="仿宋" w:eastAsia="仿宋" w:cs="仿宋"/>
          <w:b/>
          <w:color w:val="auto"/>
          <w:sz w:val="32"/>
          <w:szCs w:val="32"/>
          <w:highlight w:val="none"/>
        </w:rPr>
      </w:pPr>
      <w:bookmarkStart w:id="288" w:name="_Toc12014"/>
      <w:bookmarkStart w:id="289" w:name="_Toc4899"/>
      <w:bookmarkStart w:id="290" w:name="_Toc30054"/>
      <w:bookmarkStart w:id="291" w:name="_Toc21122"/>
      <w:bookmarkStart w:id="292" w:name="_Toc6084"/>
      <w:bookmarkStart w:id="293" w:name="_Toc7767"/>
      <w:bookmarkStart w:id="294" w:name="_Toc73005663"/>
      <w:bookmarkStart w:id="295" w:name="_Toc18125"/>
      <w:bookmarkStart w:id="296" w:name="_Toc100851653"/>
      <w:bookmarkStart w:id="297" w:name="_Toc27835"/>
      <w:bookmarkStart w:id="298" w:name="_Toc540"/>
      <w:bookmarkStart w:id="299" w:name="_Toc5605"/>
      <w:bookmarkStart w:id="300" w:name="_Toc25177"/>
      <w:r>
        <w:rPr>
          <w:rFonts w:hint="eastAsia" w:ascii="仿宋" w:hAnsi="仿宋" w:eastAsia="仿宋" w:cs="仿宋"/>
          <w:b/>
          <w:color w:val="auto"/>
          <w:sz w:val="32"/>
          <w:szCs w:val="32"/>
          <w:highlight w:val="none"/>
        </w:rPr>
        <w:t>（二）完善创新人才激励政策</w:t>
      </w:r>
      <w:bookmarkEnd w:id="288"/>
      <w:bookmarkEnd w:id="289"/>
      <w:bookmarkEnd w:id="290"/>
      <w:bookmarkEnd w:id="291"/>
      <w:bookmarkEnd w:id="292"/>
      <w:bookmarkEnd w:id="293"/>
      <w:bookmarkEnd w:id="294"/>
      <w:bookmarkEnd w:id="295"/>
      <w:bookmarkEnd w:id="296"/>
      <w:bookmarkEnd w:id="297"/>
      <w:bookmarkEnd w:id="298"/>
      <w:bookmarkEnd w:id="299"/>
      <w:bookmarkEnd w:id="300"/>
    </w:p>
    <w:p>
      <w:pPr>
        <w:ind w:firstLine="643" w:firstLineChars="200"/>
        <w:rPr>
          <w:rFonts w:hint="eastAsia" w:ascii="仿宋" w:hAnsi="仿宋" w:eastAsia="仿宋" w:cs="仿宋"/>
          <w:bCs/>
          <w:color w:val="auto"/>
          <w:sz w:val="32"/>
          <w:szCs w:val="32"/>
          <w:highlight w:val="none"/>
        </w:rPr>
      </w:pPr>
      <w:r>
        <w:rPr>
          <w:rFonts w:hint="eastAsia" w:ascii="仿宋" w:hAnsi="仿宋" w:eastAsia="仿宋" w:cs="仿宋"/>
          <w:b/>
          <w:bCs/>
          <w:color w:val="auto"/>
          <w:sz w:val="32"/>
          <w:szCs w:val="32"/>
          <w:highlight w:val="none"/>
        </w:rPr>
        <w:t>1.落实各类激励政策。</w:t>
      </w:r>
      <w:r>
        <w:rPr>
          <w:rFonts w:hint="eastAsia" w:ascii="仿宋" w:hAnsi="仿宋" w:eastAsia="仿宋" w:cs="仿宋"/>
          <w:bCs/>
          <w:color w:val="auto"/>
          <w:sz w:val="32"/>
          <w:szCs w:val="32"/>
          <w:highlight w:val="none"/>
        </w:rPr>
        <w:t>在调研沪苏浙等地区的人才政策的基础上，适度调整人才政策支持范围和支持力度，保持人才政策的比较优势。对符合“海外金蓝领援皖”计划的海外技能专家给予津贴补助。全面推行驻蚌高校院所科技成果“使用权、处置权、收益权”改革，大力推进企业开展股权和分红激励，明确重要贡献人员和团队的奖励比例，探索高层次、高技能人才减税免税政策。拓展引才渠道，支持建设引才引智平台，择优对境内外引才引智机构进行奖补。做好外国人才表彰奖励工作，积极推动外国人才争获“安徽省黄山友谊奖”等奖项。完善创新人才灵活使用机制，对待急需紧缺的特殊人才，要实施特殊政策。培育和弘扬精益求精的工匠精神，建立健全高技能人才荣誉表彰制度，优化工匠成才环境。</w:t>
      </w:r>
    </w:p>
    <w:p>
      <w:pPr>
        <w:ind w:firstLine="643" w:firstLineChars="200"/>
        <w:rPr>
          <w:rFonts w:hint="eastAsia" w:ascii="仿宋" w:hAnsi="仿宋" w:eastAsia="仿宋" w:cs="仿宋"/>
          <w:bCs/>
          <w:color w:val="auto"/>
          <w:sz w:val="32"/>
          <w:szCs w:val="32"/>
          <w:highlight w:val="none"/>
        </w:rPr>
      </w:pPr>
      <w:r>
        <w:rPr>
          <w:rFonts w:hint="eastAsia" w:ascii="仿宋" w:hAnsi="仿宋" w:eastAsia="仿宋" w:cs="仿宋"/>
          <w:b/>
          <w:bCs/>
          <w:color w:val="auto"/>
          <w:sz w:val="32"/>
          <w:szCs w:val="32"/>
          <w:highlight w:val="none"/>
        </w:rPr>
        <w:t>2.创新人才发展评价机制。</w:t>
      </w:r>
      <w:r>
        <w:rPr>
          <w:rFonts w:hint="eastAsia" w:ascii="仿宋" w:hAnsi="仿宋" w:eastAsia="仿宋" w:cs="仿宋"/>
          <w:bCs/>
          <w:color w:val="auto"/>
          <w:sz w:val="32"/>
          <w:szCs w:val="32"/>
          <w:highlight w:val="none"/>
        </w:rPr>
        <w:t>完善人才发展通道，拓展人才成长空间。构建高技能人才终身职业培训体系，建立技工院校人才学历互认机制，打通技能人才与专业技术人才职业发展通道。稳步推进科研人员薪酬和岗位管理制度改革，支持高校院所设立特设岗位，促进创新人才在科研院所、高校和企业之间双向流动。改革人才评价机制，形成并实施有利于科技人才潜心研究和创新的评价体系，科学评价人才。贯彻落实“破五唯”专项行动精神，探索建立更科学的人才分类评价体系。支持企业开展高技能人才自主评价，培育第三方评审专家队伍，推动技能人才评价多元化。建立适应基层发展的人才评价机制，引导智力向基层流动，服务乡村振兴战略。深入开展专技人才知识更新项目，不断壮大和优化人才队伍。</w:t>
      </w:r>
    </w:p>
    <w:p>
      <w:pPr>
        <w:ind w:firstLine="643" w:firstLineChars="200"/>
        <w:outlineLvl w:val="2"/>
        <w:rPr>
          <w:rFonts w:hint="eastAsia" w:ascii="仿宋" w:hAnsi="仿宋" w:eastAsia="仿宋" w:cs="仿宋"/>
          <w:b/>
          <w:color w:val="auto"/>
          <w:sz w:val="32"/>
          <w:szCs w:val="32"/>
          <w:highlight w:val="none"/>
        </w:rPr>
      </w:pPr>
      <w:bookmarkStart w:id="301" w:name="_Toc12878"/>
      <w:bookmarkStart w:id="302" w:name="_Toc100851654"/>
      <w:bookmarkStart w:id="303" w:name="_Toc17592"/>
      <w:bookmarkStart w:id="304" w:name="_Toc73005664"/>
      <w:bookmarkStart w:id="305" w:name="_Toc22289"/>
      <w:bookmarkStart w:id="306" w:name="_Toc10868"/>
      <w:bookmarkStart w:id="307" w:name="_Toc3517"/>
      <w:bookmarkStart w:id="308" w:name="_Toc18743"/>
      <w:bookmarkStart w:id="309" w:name="_Toc11193"/>
      <w:bookmarkStart w:id="310" w:name="_Toc23530"/>
      <w:bookmarkStart w:id="311" w:name="_Toc20063"/>
      <w:bookmarkStart w:id="312" w:name="_Toc28577"/>
      <w:bookmarkStart w:id="313" w:name="_Toc7637"/>
      <w:r>
        <w:rPr>
          <w:rFonts w:hint="eastAsia" w:ascii="仿宋" w:hAnsi="仿宋" w:eastAsia="仿宋" w:cs="仿宋"/>
          <w:b/>
          <w:color w:val="auto"/>
          <w:sz w:val="32"/>
          <w:szCs w:val="32"/>
          <w:highlight w:val="none"/>
        </w:rPr>
        <w:t>（三）提高创新人才服务水平</w:t>
      </w:r>
      <w:bookmarkEnd w:id="301"/>
      <w:bookmarkEnd w:id="302"/>
      <w:bookmarkEnd w:id="303"/>
      <w:bookmarkEnd w:id="304"/>
      <w:bookmarkEnd w:id="305"/>
      <w:bookmarkEnd w:id="306"/>
      <w:bookmarkEnd w:id="307"/>
      <w:bookmarkEnd w:id="308"/>
      <w:bookmarkEnd w:id="309"/>
      <w:bookmarkEnd w:id="310"/>
      <w:bookmarkEnd w:id="311"/>
      <w:bookmarkEnd w:id="312"/>
      <w:bookmarkEnd w:id="313"/>
    </w:p>
    <w:p>
      <w:pPr>
        <w:ind w:firstLine="643" w:firstLineChars="200"/>
        <w:rPr>
          <w:rFonts w:hint="eastAsia" w:ascii="仿宋" w:hAnsi="仿宋" w:eastAsia="仿宋" w:cs="仿宋"/>
          <w:bCs/>
          <w:color w:val="auto"/>
          <w:sz w:val="32"/>
          <w:szCs w:val="32"/>
          <w:highlight w:val="none"/>
        </w:rPr>
      </w:pPr>
      <w:r>
        <w:rPr>
          <w:rFonts w:hint="eastAsia" w:ascii="仿宋" w:hAnsi="仿宋" w:eastAsia="仿宋" w:cs="仿宋"/>
          <w:b/>
          <w:bCs/>
          <w:color w:val="auto"/>
          <w:sz w:val="32"/>
          <w:szCs w:val="32"/>
          <w:highlight w:val="none"/>
        </w:rPr>
        <w:t>1.提升人才管理服务质量。</w:t>
      </w:r>
      <w:r>
        <w:rPr>
          <w:rFonts w:hint="eastAsia" w:ascii="仿宋" w:hAnsi="仿宋" w:eastAsia="仿宋" w:cs="仿宋"/>
          <w:bCs/>
          <w:color w:val="auto"/>
          <w:sz w:val="32"/>
          <w:szCs w:val="32"/>
          <w:highlight w:val="none"/>
        </w:rPr>
        <w:t>进一步完善人才服务机制，为高端人才开辟绿色服务通道，落实人才生活保障措施，解决人才创新创业的后顾之忧。完善市领导干部联系领军人才机制，优化“珠城人才一卡通”服务机制，探索“共有产权”住房制度，加强人才住房保障，简化人才来蚌落户手续，提升生活配套管理服务，着力消除人才及其家属子女就学就医障碍，帮助人才有效解决实际困难，改善人才发展软环境。全面落实省技工“蓝卡”制度，解决高技能人才流动的社会保险关系接续难题。完善人才市场体系建设，强化市场主体公平竞争，提高中介组织的服务规范，为各类人才合理流动和优化配置提供便利。优化外国人来华工作许可办理流程，提高来华工作便利度，支持高层次海外人才申办“中国绿卡”</w:t>
      </w:r>
      <w:r>
        <w:rPr>
          <w:rFonts w:hint="eastAsia" w:ascii="仿宋" w:hAnsi="仿宋" w:eastAsia="仿宋" w:cs="仿宋"/>
          <w:color w:val="auto"/>
          <w:sz w:val="32"/>
          <w:szCs w:val="32"/>
          <w:highlight w:val="none"/>
        </w:rPr>
        <w:t>。</w:t>
      </w:r>
      <w:r>
        <w:rPr>
          <w:rFonts w:hint="eastAsia" w:ascii="仿宋" w:hAnsi="仿宋" w:eastAsia="仿宋" w:cs="仿宋"/>
          <w:bCs/>
          <w:color w:val="auto"/>
          <w:sz w:val="32"/>
          <w:szCs w:val="32"/>
          <w:highlight w:val="none"/>
        </w:rPr>
        <w:t xml:space="preserve">  </w:t>
      </w:r>
    </w:p>
    <w:p>
      <w:pPr>
        <w:ind w:firstLine="643" w:firstLineChars="200"/>
        <w:rPr>
          <w:rFonts w:hint="eastAsia" w:ascii="仿宋" w:hAnsi="仿宋" w:eastAsia="仿宋" w:cs="仿宋"/>
          <w:bCs/>
          <w:color w:val="auto"/>
          <w:sz w:val="32"/>
          <w:szCs w:val="32"/>
          <w:highlight w:val="none"/>
        </w:rPr>
      </w:pPr>
      <w:r>
        <w:rPr>
          <w:rFonts w:hint="eastAsia" w:ascii="仿宋" w:hAnsi="仿宋" w:eastAsia="仿宋" w:cs="仿宋"/>
          <w:b/>
          <w:bCs/>
          <w:color w:val="auto"/>
          <w:sz w:val="32"/>
          <w:szCs w:val="32"/>
          <w:highlight w:val="none"/>
        </w:rPr>
        <w:t>2.提高人才创新创业服务效能。</w:t>
      </w:r>
      <w:r>
        <w:rPr>
          <w:rFonts w:hint="eastAsia" w:ascii="仿宋" w:hAnsi="仿宋" w:eastAsia="仿宋" w:cs="仿宋"/>
          <w:bCs/>
          <w:color w:val="auto"/>
          <w:sz w:val="32"/>
          <w:szCs w:val="32"/>
          <w:highlight w:val="none"/>
        </w:rPr>
        <w:t>围绕人才创新创业活动，提供全方位的服务支持。支持创建青年创业园、留学人员创业园和人力资源服务创业园，清理盘活闲置土地资源，为创业人士提供创新孵化平台。推动使用专利权、商标专用权办理知识产权质押融资，解决人才创业融资难问题。扎实推进知识产权运营公共服务平台体系建设，及时认定创新人才的科技成果，提高知识产权运营和金融资本服务能力。鼓励高层次专业人才联合国内外知名机构，在蚌埠发起和组织学术论坛、重大人才交流对接会活动。完善高技能人才专家库、项目库、成果库，支持定期开展高技能人才技术交流活动。提升高层次人才综合服务水平，打造资金支持、创业扶持、职称申报、评奖评优的全方位“一站式”绿色通道。</w:t>
      </w:r>
    </w:p>
    <w:p>
      <w:pPr>
        <w:ind w:left="640"/>
        <w:jc w:val="center"/>
        <w:outlineLvl w:val="1"/>
        <w:rPr>
          <w:rFonts w:ascii="黑体" w:hAnsi="黑体" w:eastAsia="黑体" w:cs="Times New Roman"/>
          <w:bCs/>
          <w:color w:val="auto"/>
          <w:sz w:val="32"/>
          <w:szCs w:val="32"/>
          <w:highlight w:val="none"/>
        </w:rPr>
      </w:pPr>
      <w:bookmarkStart w:id="314" w:name="_Toc9319"/>
      <w:bookmarkStart w:id="315" w:name="_Toc10032"/>
      <w:bookmarkStart w:id="316" w:name="_Toc3436"/>
      <w:bookmarkStart w:id="317" w:name="_Toc12438"/>
      <w:bookmarkStart w:id="318" w:name="_Toc8202"/>
      <w:bookmarkStart w:id="319" w:name="_Toc31858"/>
      <w:bookmarkStart w:id="320" w:name="_Toc73005665"/>
      <w:bookmarkStart w:id="321" w:name="_Toc6394"/>
      <w:bookmarkStart w:id="322" w:name="_Toc15005"/>
      <w:bookmarkStart w:id="323" w:name="_Toc100851655"/>
      <w:bookmarkStart w:id="324" w:name="_Toc1463"/>
      <w:bookmarkStart w:id="325" w:name="_Toc26506"/>
      <w:bookmarkStart w:id="326" w:name="_Toc22432"/>
      <w:r>
        <w:rPr>
          <w:rFonts w:hint="eastAsia" w:ascii="楷体" w:hAnsi="楷体" w:eastAsia="楷体" w:cs="楷体"/>
          <w:bCs/>
          <w:color w:val="auto"/>
          <w:sz w:val="32"/>
          <w:szCs w:val="32"/>
          <w:highlight w:val="none"/>
        </w:rPr>
        <w:t>第六节  深化科技金融结合，赋能科技创新资本力量</w:t>
      </w:r>
      <w:bookmarkEnd w:id="314"/>
      <w:bookmarkEnd w:id="315"/>
      <w:bookmarkEnd w:id="316"/>
      <w:bookmarkEnd w:id="317"/>
      <w:bookmarkEnd w:id="318"/>
      <w:bookmarkEnd w:id="319"/>
      <w:bookmarkEnd w:id="320"/>
      <w:bookmarkEnd w:id="321"/>
      <w:bookmarkEnd w:id="322"/>
      <w:bookmarkEnd w:id="323"/>
      <w:bookmarkEnd w:id="324"/>
      <w:bookmarkEnd w:id="325"/>
      <w:bookmarkEnd w:id="326"/>
    </w:p>
    <w:p>
      <w:pPr>
        <w:jc w:val="left"/>
        <w:rPr>
          <w:rFonts w:hint="eastAsia" w:ascii="仿宋" w:hAnsi="仿宋" w:eastAsia="仿宋" w:cs="仿宋"/>
          <w:color w:val="auto"/>
          <w:sz w:val="32"/>
          <w:szCs w:val="32"/>
          <w:highlight w:val="none"/>
        </w:rPr>
      </w:pPr>
      <w:r>
        <w:rPr>
          <w:rFonts w:hint="eastAsia" w:ascii="方正仿宋简体" w:hAnsi="方正仿宋简体" w:eastAsia="方正仿宋简体" w:cs="方正仿宋简体"/>
          <w:color w:val="auto"/>
          <w:sz w:val="32"/>
          <w:szCs w:val="32"/>
          <w:highlight w:val="none"/>
        </w:rPr>
        <w:t xml:space="preserve">  </w:t>
      </w:r>
      <w:r>
        <w:rPr>
          <w:rFonts w:hint="eastAsia" w:ascii="仿宋" w:hAnsi="仿宋" w:eastAsia="仿宋" w:cs="仿宋"/>
          <w:color w:val="auto"/>
          <w:sz w:val="32"/>
          <w:szCs w:val="32"/>
          <w:highlight w:val="none"/>
        </w:rPr>
        <w:t xml:space="preserve">  坚持金融服务实体经济定位，强化金融与科技结合，加快科技信贷市场创新与发展，推动建设多层次科技金融体系，发挥创投基金的关键性作用，搭建综合性金融服务平台，为深入实施创新驱动发展战略提供重要支撑。</w:t>
      </w:r>
    </w:p>
    <w:p>
      <w:pPr>
        <w:pStyle w:val="15"/>
        <w:ind w:firstLine="640"/>
        <w:jc w:val="left"/>
        <w:outlineLvl w:val="2"/>
        <w:rPr>
          <w:rFonts w:hint="eastAsia" w:ascii="仿宋" w:hAnsi="仿宋" w:eastAsia="仿宋" w:cs="仿宋"/>
          <w:color w:val="auto"/>
          <w:sz w:val="32"/>
          <w:szCs w:val="32"/>
          <w:highlight w:val="none"/>
        </w:rPr>
      </w:pPr>
      <w:bookmarkStart w:id="327" w:name="_Toc100851656"/>
      <w:bookmarkStart w:id="328" w:name="_Toc30053"/>
      <w:bookmarkStart w:id="329" w:name="_Toc21362"/>
      <w:bookmarkStart w:id="330" w:name="_Toc13309"/>
      <w:bookmarkStart w:id="331" w:name="_Toc21645"/>
      <w:bookmarkStart w:id="332" w:name="_Toc18107"/>
      <w:bookmarkStart w:id="333" w:name="_Toc73005666"/>
      <w:bookmarkStart w:id="334" w:name="_Toc27471"/>
      <w:bookmarkStart w:id="335" w:name="_Toc13106"/>
      <w:bookmarkStart w:id="336" w:name="_Toc27130"/>
      <w:bookmarkStart w:id="337" w:name="_Toc25517"/>
      <w:bookmarkStart w:id="338" w:name="_Toc19476"/>
      <w:bookmarkStart w:id="339" w:name="_Toc28433"/>
      <w:r>
        <w:rPr>
          <w:rFonts w:hint="eastAsia" w:ascii="仿宋" w:hAnsi="仿宋" w:eastAsia="仿宋" w:cs="仿宋"/>
          <w:b/>
          <w:bCs/>
          <w:color w:val="auto"/>
          <w:sz w:val="32"/>
          <w:szCs w:val="32"/>
          <w:highlight w:val="none"/>
        </w:rPr>
        <w:t>（一）加快科技信贷市场发展</w:t>
      </w:r>
      <w:bookmarkEnd w:id="327"/>
      <w:bookmarkEnd w:id="328"/>
      <w:bookmarkEnd w:id="329"/>
      <w:bookmarkEnd w:id="330"/>
      <w:bookmarkEnd w:id="331"/>
      <w:bookmarkEnd w:id="332"/>
      <w:bookmarkEnd w:id="333"/>
      <w:bookmarkEnd w:id="334"/>
      <w:bookmarkEnd w:id="335"/>
      <w:bookmarkEnd w:id="336"/>
      <w:bookmarkEnd w:id="337"/>
      <w:bookmarkEnd w:id="338"/>
      <w:bookmarkEnd w:id="339"/>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1.加大科技信贷服务主体建设。</w:t>
      </w:r>
      <w:r>
        <w:rPr>
          <w:rFonts w:hint="eastAsia" w:ascii="仿宋" w:hAnsi="仿宋" w:eastAsia="仿宋" w:cs="仿宋"/>
          <w:color w:val="auto"/>
          <w:sz w:val="32"/>
          <w:szCs w:val="32"/>
          <w:highlight w:val="none"/>
        </w:rPr>
        <w:t>加速推进金融与科技融合，鼓励银行、保险、证券、信托等金融机构开展科技信贷业务。积极引进科技银行支行、科技融资租赁、科技小额贷款、科技担保以及科技保险等新型科技金融机构，利用国开行、农发行等开发性、政策性金融资源，支持民间资本发起成立民营银行，开展特色金融业务试点。支持符合条件的境内外银行、保险、证券、信托等金融机构在中国（安徽）自由贸易试验区蚌埠片区内设立区域总部或分支机构，加大引进科技创业投资机构，打造科技信贷综合服务信息平台，建立健全错位发展的科技信贷服务体系。</w:t>
      </w:r>
    </w:p>
    <w:p>
      <w:pPr>
        <w:pStyle w:val="8"/>
        <w:ind w:firstLine="640"/>
        <w:jc w:val="lef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2.扩大知识产权质押融资规模。</w:t>
      </w:r>
      <w:r>
        <w:rPr>
          <w:rFonts w:hint="eastAsia" w:ascii="仿宋" w:hAnsi="仿宋" w:eastAsia="仿宋" w:cs="仿宋"/>
          <w:color w:val="auto"/>
          <w:sz w:val="32"/>
          <w:szCs w:val="32"/>
          <w:highlight w:val="none"/>
        </w:rPr>
        <w:t>发挥银行机构多样化金融服务功能，引导创新和推广知识产权质押、研发贷、订单贷、高成长企业“科创贷”等新型融资产品，支持发起科技保险类金融机构与金融产品，适时扩大知识产权融资风险补偿范围，降低知识产权融资门槛和融资成本。建立健全容错机制，用好蚌埠市中小微企业贷款风险补偿资金池，对合作银行为科技型中小企业提供信贷所产生的本金损失进行有限补偿，实行差异化信贷管理。</w:t>
      </w:r>
    </w:p>
    <w:p>
      <w:pPr>
        <w:pStyle w:val="15"/>
        <w:numPr>
          <w:ilvl w:val="255"/>
          <w:numId w:val="0"/>
        </w:numPr>
        <w:ind w:firstLine="643" w:firstLineChars="200"/>
        <w:jc w:val="left"/>
        <w:outlineLvl w:val="2"/>
        <w:rPr>
          <w:rFonts w:hint="eastAsia" w:ascii="仿宋" w:hAnsi="仿宋" w:eastAsia="仿宋" w:cs="仿宋"/>
          <w:b/>
          <w:color w:val="auto"/>
          <w:sz w:val="32"/>
          <w:szCs w:val="32"/>
          <w:highlight w:val="none"/>
        </w:rPr>
      </w:pPr>
      <w:bookmarkStart w:id="340" w:name="_Toc100851657"/>
      <w:bookmarkStart w:id="341" w:name="_Toc10245"/>
      <w:bookmarkStart w:id="342" w:name="_Toc2609"/>
      <w:bookmarkStart w:id="343" w:name="_Toc12311"/>
      <w:bookmarkStart w:id="344" w:name="_Toc22220"/>
      <w:bookmarkStart w:id="345" w:name="_Toc17455"/>
      <w:bookmarkStart w:id="346" w:name="_Toc5256"/>
      <w:bookmarkStart w:id="347" w:name="_Toc15849"/>
      <w:bookmarkStart w:id="348" w:name="_Toc14911"/>
      <w:bookmarkStart w:id="349" w:name="_Toc13275"/>
      <w:bookmarkStart w:id="350" w:name="_Toc1832"/>
      <w:bookmarkStart w:id="351" w:name="_Toc23799"/>
      <w:bookmarkStart w:id="352" w:name="_Toc73005667"/>
      <w:r>
        <w:rPr>
          <w:rFonts w:hint="eastAsia" w:ascii="仿宋" w:hAnsi="仿宋" w:eastAsia="仿宋" w:cs="仿宋"/>
          <w:b/>
          <w:bCs/>
          <w:color w:val="auto"/>
          <w:sz w:val="32"/>
          <w:szCs w:val="32"/>
          <w:highlight w:val="none"/>
        </w:rPr>
        <w:t>（二）构建多层次科技金融服务体系</w:t>
      </w:r>
      <w:bookmarkEnd w:id="340"/>
    </w:p>
    <w:bookmarkEnd w:id="341"/>
    <w:bookmarkEnd w:id="342"/>
    <w:bookmarkEnd w:id="343"/>
    <w:bookmarkEnd w:id="344"/>
    <w:bookmarkEnd w:id="345"/>
    <w:bookmarkEnd w:id="346"/>
    <w:bookmarkEnd w:id="347"/>
    <w:bookmarkEnd w:id="348"/>
    <w:bookmarkEnd w:id="349"/>
    <w:bookmarkEnd w:id="350"/>
    <w:bookmarkEnd w:id="351"/>
    <w:bookmarkEnd w:id="352"/>
    <w:p>
      <w:pPr>
        <w:pStyle w:val="8"/>
        <w:ind w:firstLine="640"/>
        <w:jc w:val="left"/>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1.拓宽企业融资渠道。</w:t>
      </w:r>
      <w:r>
        <w:rPr>
          <w:rFonts w:hint="eastAsia" w:ascii="仿宋" w:hAnsi="仿宋" w:eastAsia="仿宋" w:cs="仿宋"/>
          <w:color w:val="auto"/>
          <w:sz w:val="32"/>
          <w:szCs w:val="32"/>
          <w:highlight w:val="none"/>
        </w:rPr>
        <w:t>把握资本市场改革带来的新机遇，全力支持推进具备条件的在蚌科技企业在沪深北交易所、中小板、创业板、新三板和安徽省股权交易中心上市挂牌，鼓励在蚌高成长科技型企业优先到科创板上市融资。完善企业上市指导培育咨询服务，加快推进芯动联科、丰原生化等企业上市进程。出台落实更多优惠政策，大力吸引天使投资、风险投资、创业投资、私募股权投资等各类投资机构投资本地企业和项目，重点关注种子期和初创期的科创企业。加大对科技型企业通过发行中小企业集合债券、私募债、集合票据、短期融资券等创新融资工具进行直接融资的支持力度。</w:t>
      </w:r>
    </w:p>
    <w:p>
      <w:pPr>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2.</w:t>
      </w:r>
      <w:bookmarkStart w:id="353" w:name="_Hlk98115395"/>
      <w:r>
        <w:rPr>
          <w:rFonts w:hint="eastAsia" w:ascii="仿宋" w:hAnsi="仿宋" w:eastAsia="仿宋" w:cs="仿宋"/>
          <w:b/>
          <w:bCs/>
          <w:color w:val="auto"/>
          <w:sz w:val="32"/>
          <w:szCs w:val="32"/>
          <w:highlight w:val="none"/>
        </w:rPr>
        <w:t>强化基金市场化运作。</w:t>
      </w:r>
      <w:bookmarkStart w:id="354" w:name="_Hlk98115450"/>
      <w:r>
        <w:rPr>
          <w:rFonts w:hint="eastAsia" w:ascii="仿宋" w:hAnsi="仿宋" w:eastAsia="仿宋" w:cs="仿宋"/>
          <w:color w:val="auto"/>
          <w:sz w:val="32"/>
          <w:szCs w:val="32"/>
          <w:highlight w:val="none"/>
        </w:rPr>
        <w:t>鼓励设立各类产业投资基金、股权投资基金、科技创新基金、科技成果转化基金，引导其主要投向新材料、新一代信息技术、高端装备制造等重点领域的产业化项目。发挥产业发展引导基金作用，按照“政府引导、市场运作”模式，投资具有原始创新、集成创新、消化吸收再创新能力的创新型企业，加大对成长速度快、创新能力强、发展潜力大的中小企业的投资力度。探索引入第三方专业基金运作管理机构，采取市场化运作机制灵活管理基金，引导更多的社会资本投向科技型企业。</w:t>
      </w:r>
      <w:bookmarkEnd w:id="353"/>
    </w:p>
    <w:bookmarkEnd w:id="354"/>
    <w:p>
      <w:pPr>
        <w:pStyle w:val="15"/>
        <w:ind w:firstLine="640"/>
        <w:jc w:val="left"/>
        <w:outlineLvl w:val="2"/>
        <w:rPr>
          <w:rFonts w:hint="eastAsia" w:ascii="仿宋" w:hAnsi="仿宋" w:eastAsia="仿宋" w:cs="仿宋"/>
          <w:b/>
          <w:bCs/>
          <w:color w:val="auto"/>
          <w:sz w:val="32"/>
          <w:szCs w:val="32"/>
          <w:highlight w:val="none"/>
        </w:rPr>
      </w:pPr>
      <w:bookmarkStart w:id="355" w:name="_Toc100851658"/>
      <w:bookmarkStart w:id="356" w:name="_Toc28977"/>
      <w:bookmarkStart w:id="357" w:name="_Toc25248"/>
      <w:bookmarkStart w:id="358" w:name="_Toc17501"/>
      <w:bookmarkStart w:id="359" w:name="_Toc25127"/>
      <w:bookmarkStart w:id="360" w:name="_Toc27388"/>
      <w:bookmarkStart w:id="361" w:name="_Toc30713"/>
      <w:bookmarkStart w:id="362" w:name="_Toc73005668"/>
      <w:bookmarkStart w:id="363" w:name="_Toc16522"/>
      <w:bookmarkStart w:id="364" w:name="_Toc25930"/>
      <w:bookmarkStart w:id="365" w:name="_Toc22563"/>
      <w:bookmarkStart w:id="366" w:name="_Toc8985"/>
      <w:bookmarkStart w:id="367" w:name="_Toc14553"/>
      <w:r>
        <w:rPr>
          <w:rFonts w:hint="eastAsia" w:ascii="仿宋" w:hAnsi="仿宋" w:eastAsia="仿宋" w:cs="仿宋"/>
          <w:b/>
          <w:bCs/>
          <w:color w:val="auto"/>
          <w:sz w:val="32"/>
          <w:szCs w:val="32"/>
          <w:highlight w:val="none"/>
        </w:rPr>
        <w:t>（三）完善科技创新融资服务平台</w:t>
      </w:r>
      <w:bookmarkEnd w:id="355"/>
      <w:bookmarkEnd w:id="356"/>
      <w:bookmarkEnd w:id="357"/>
      <w:bookmarkEnd w:id="358"/>
      <w:bookmarkEnd w:id="359"/>
      <w:bookmarkEnd w:id="360"/>
      <w:bookmarkEnd w:id="361"/>
      <w:bookmarkEnd w:id="362"/>
      <w:bookmarkEnd w:id="363"/>
      <w:bookmarkEnd w:id="364"/>
      <w:bookmarkEnd w:id="365"/>
      <w:bookmarkEnd w:id="366"/>
      <w:bookmarkEnd w:id="367"/>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1.搭建线上线下融资服务平台。</w:t>
      </w:r>
      <w:r>
        <w:rPr>
          <w:rFonts w:hint="eastAsia" w:ascii="仿宋" w:hAnsi="仿宋" w:eastAsia="仿宋" w:cs="仿宋"/>
          <w:color w:val="auto"/>
          <w:sz w:val="32"/>
          <w:szCs w:val="32"/>
          <w:highlight w:val="none"/>
        </w:rPr>
        <w:t>利用“安徽省中小微企业融资综合服务平台”、“安徽省股权托管交易中心”等省级平台资源，整合地方融资服务平台与各区县现有金融服务中心资源，实现资源共享和优势互补。打通线上线下金融快捷服务通道，加快无接触金融服务建设，融合政府、金融机构和科技企业三方信息，强化平台的中介作用，为科技型企业创新创业提供集成化、个性化、全生命周期的科技金融服务，实现金融机构与科技型企业的无缝对接。</w:t>
      </w:r>
    </w:p>
    <w:p>
      <w:pPr>
        <w:pStyle w:val="15"/>
        <w:ind w:firstLine="640"/>
        <w:jc w:val="lef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2.持续完善平台综合服务能力。</w:t>
      </w:r>
      <w:r>
        <w:rPr>
          <w:rFonts w:hint="eastAsia" w:ascii="仿宋" w:hAnsi="仿宋" w:eastAsia="仿宋" w:cs="仿宋"/>
          <w:color w:val="auto"/>
          <w:sz w:val="32"/>
          <w:szCs w:val="32"/>
          <w:highlight w:val="none"/>
        </w:rPr>
        <w:t>优化投融资环境，完善“4321”政银担合作机制，加强对高新技术企业、科技型中小企业以及符合条件的科技型初创企业担保风险的分担。积极响应科技企业个性化需求，对接长三角优质金融机构与金融服务平台，整合银行、担保、保险和创投等金融资源，引入法律服务、信用评级、资产评估、融资担保和再担保、投资咨询等专业服务，实现金融服务“全覆盖”，打造一站式综合金融服务平台。</w:t>
      </w:r>
    </w:p>
    <w:p>
      <w:pPr>
        <w:ind w:firstLine="640" w:firstLineChars="200"/>
        <w:outlineLvl w:val="1"/>
        <w:rPr>
          <w:rFonts w:hint="eastAsia" w:ascii="楷体" w:hAnsi="楷体" w:eastAsia="楷体" w:cs="楷体"/>
          <w:bCs/>
          <w:color w:val="auto"/>
          <w:sz w:val="32"/>
          <w:szCs w:val="32"/>
          <w:highlight w:val="none"/>
        </w:rPr>
      </w:pPr>
      <w:bookmarkStart w:id="368" w:name="_Toc22893"/>
      <w:bookmarkStart w:id="369" w:name="_Toc22350"/>
      <w:bookmarkStart w:id="370" w:name="_Toc13717"/>
      <w:bookmarkStart w:id="371" w:name="_Toc12003"/>
      <w:bookmarkStart w:id="372" w:name="_Toc100851659"/>
      <w:bookmarkStart w:id="373" w:name="_Toc26396"/>
      <w:bookmarkStart w:id="374" w:name="_Toc3266"/>
      <w:bookmarkStart w:id="375" w:name="_Toc19527"/>
      <w:bookmarkStart w:id="376" w:name="_Toc20483"/>
      <w:bookmarkStart w:id="377" w:name="_Toc11201"/>
      <w:bookmarkStart w:id="378" w:name="_Toc20067"/>
      <w:bookmarkStart w:id="379" w:name="_Toc73005669"/>
      <w:bookmarkStart w:id="380" w:name="_Toc20522"/>
      <w:r>
        <w:rPr>
          <w:rFonts w:hint="eastAsia" w:ascii="楷体" w:hAnsi="楷体" w:eastAsia="楷体" w:cs="楷体"/>
          <w:bCs/>
          <w:color w:val="auto"/>
          <w:sz w:val="32"/>
          <w:szCs w:val="32"/>
          <w:highlight w:val="none"/>
        </w:rPr>
        <w:t>第七节  深化区域创新合作，开拓开放创新新天地</w:t>
      </w:r>
      <w:bookmarkEnd w:id="368"/>
      <w:bookmarkEnd w:id="369"/>
      <w:bookmarkEnd w:id="370"/>
      <w:bookmarkEnd w:id="371"/>
      <w:bookmarkEnd w:id="372"/>
      <w:bookmarkEnd w:id="373"/>
      <w:bookmarkEnd w:id="374"/>
      <w:bookmarkEnd w:id="375"/>
      <w:bookmarkEnd w:id="376"/>
      <w:bookmarkEnd w:id="377"/>
      <w:bookmarkEnd w:id="378"/>
      <w:bookmarkEnd w:id="379"/>
      <w:bookmarkEnd w:id="380"/>
    </w:p>
    <w:p>
      <w:pPr>
        <w:pStyle w:val="15"/>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创新一体化为主线，以提升区域协同创新能力为目标，加强创新开放合作，发挥蚌埠优势，积极参与长三角科技创新共同体建设，鼓励企业参与国际竞争与合作，推动优势产能走出去、创新资源引进来，着力打造开放创新引领区。</w:t>
      </w:r>
    </w:p>
    <w:p>
      <w:pPr>
        <w:pStyle w:val="15"/>
        <w:numPr>
          <w:ilvl w:val="0"/>
          <w:numId w:val="0"/>
        </w:numPr>
        <w:ind w:firstLine="643" w:firstLineChars="200"/>
        <w:outlineLvl w:val="2"/>
        <w:rPr>
          <w:rFonts w:hint="eastAsia" w:ascii="仿宋" w:hAnsi="仿宋" w:eastAsia="仿宋" w:cs="仿宋"/>
          <w:b/>
          <w:bCs/>
          <w:color w:val="auto"/>
          <w:sz w:val="32"/>
          <w:szCs w:val="32"/>
          <w:highlight w:val="none"/>
        </w:rPr>
      </w:pPr>
      <w:bookmarkStart w:id="381" w:name="_Toc4148"/>
      <w:bookmarkStart w:id="382" w:name="_Toc100851660"/>
      <w:bookmarkStart w:id="383" w:name="_Toc15064"/>
      <w:bookmarkStart w:id="384" w:name="_Toc29057"/>
      <w:bookmarkStart w:id="385" w:name="_Toc28729"/>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一</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加快融入长三角科技创新共同体</w:t>
      </w:r>
      <w:bookmarkEnd w:id="381"/>
      <w:bookmarkEnd w:id="382"/>
      <w:bookmarkEnd w:id="383"/>
      <w:bookmarkEnd w:id="384"/>
      <w:bookmarkEnd w:id="385"/>
    </w:p>
    <w:p>
      <w:pPr>
        <w:pStyle w:val="15"/>
        <w:ind w:firstLine="64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1.提升协同创新能力。</w:t>
      </w:r>
      <w:r>
        <w:rPr>
          <w:rFonts w:hint="eastAsia" w:ascii="仿宋" w:hAnsi="仿宋" w:eastAsia="仿宋" w:cs="仿宋"/>
          <w:color w:val="auto"/>
          <w:sz w:val="32"/>
          <w:szCs w:val="32"/>
          <w:highlight w:val="none"/>
        </w:rPr>
        <w:t>贯彻落实习近平总书记在扎实推进长三角一体化发展座谈会重要讲话精神，强化科技领域的合作，高质量融入长三角一体化发展。推进实施长三角区域一体化发展战略蚌埠方案，积极融入合肥都市圈、南京都市圈、G60科创走廊，积极参与合肥综合性国家科学中心建设，推动科技基础设施一体化。积极引进长三角龙头企业、科研院所在蚌设立分支机构、创新平台。支持企业以自建、并购、合作共建等方式建立异地研发平台、科技企业孵化器，支持企业通过技术授权、技术并购等方式获取先进技术。充分对接沪苏浙科教资源，聚焦硅基、生物基新材料等产业组建创新联合体、产业协同创新研究院等技术创新组织。加快科学仪器协作共用网络、科技数据文献共享平台建设。对标宁波，探索建立飞地经济合作模式、创新逆向飞地招商模式。</w:t>
      </w:r>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2.打造协同政策体系。</w:t>
      </w:r>
      <w:r>
        <w:rPr>
          <w:rFonts w:hint="eastAsia" w:ascii="仿宋" w:hAnsi="仿宋" w:eastAsia="仿宋" w:cs="仿宋"/>
          <w:color w:val="auto"/>
          <w:sz w:val="32"/>
          <w:szCs w:val="32"/>
          <w:highlight w:val="none"/>
        </w:rPr>
        <w:t>发挥合芜蚌国家自主创新示范区、安徽自贸区蚌埠片区、皖北承接产业转移集聚区等重大平台集中叠加效应。着力深化改革创新，研究制定全面创新改革实验方案，加快形成高质量的政策体系。深入落实《中国（安徽）自由贸易试验区总体方案》，借鉴沪苏浙自贸区先进经验，深化制度创新，加强联动发展。在推动人才、技术、资本、信息等创新要素跨区域自由流动方面先行先试，探索产出一批科技创新和制度创新成果。对标长三角地区科技服务标准，完善人才评价标准互认制度，推动创新资源有序流动。积极推动科技创新券通用通兑，实现企业异地购买科技服务。积极承接长三角产业转移，形成成果共享、收益共分、成本共担、人才共用、平台共建、标准共有的创新政策协同体系。</w:t>
      </w:r>
    </w:p>
    <w:p>
      <w:pPr>
        <w:pStyle w:val="15"/>
        <w:numPr>
          <w:ilvl w:val="0"/>
          <w:numId w:val="0"/>
        </w:numPr>
        <w:ind w:firstLine="643" w:firstLineChars="200"/>
        <w:outlineLvl w:val="2"/>
        <w:rPr>
          <w:rFonts w:hint="eastAsia" w:ascii="仿宋" w:hAnsi="仿宋" w:eastAsia="仿宋" w:cs="仿宋"/>
          <w:b/>
          <w:bCs/>
          <w:color w:val="auto"/>
          <w:sz w:val="32"/>
          <w:szCs w:val="32"/>
          <w:highlight w:val="none"/>
        </w:rPr>
      </w:pPr>
      <w:bookmarkStart w:id="386" w:name="_Toc73005671"/>
      <w:bookmarkStart w:id="387" w:name="_Toc6625"/>
      <w:bookmarkStart w:id="388" w:name="_Toc24956"/>
      <w:bookmarkStart w:id="389" w:name="_Toc21563"/>
      <w:bookmarkStart w:id="390" w:name="_Toc8324"/>
      <w:bookmarkStart w:id="391" w:name="_Toc14384"/>
      <w:bookmarkStart w:id="392" w:name="_Toc2827"/>
      <w:bookmarkStart w:id="393" w:name="_Toc100851661"/>
      <w:bookmarkStart w:id="394" w:name="_Toc31846"/>
      <w:bookmarkStart w:id="395" w:name="_Toc2636"/>
      <w:bookmarkStart w:id="396" w:name="_Toc7920"/>
      <w:bookmarkStart w:id="397" w:name="_Toc6628"/>
      <w:bookmarkStart w:id="398" w:name="_Toc5671"/>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提升国际科技合作</w:t>
      </w:r>
      <w:bookmarkEnd w:id="386"/>
      <w:r>
        <w:rPr>
          <w:rFonts w:hint="eastAsia" w:ascii="仿宋" w:hAnsi="仿宋" w:eastAsia="仿宋" w:cs="仿宋"/>
          <w:b/>
          <w:bCs/>
          <w:color w:val="auto"/>
          <w:sz w:val="32"/>
          <w:szCs w:val="32"/>
          <w:highlight w:val="none"/>
        </w:rPr>
        <w:t>交流水平</w:t>
      </w:r>
      <w:bookmarkEnd w:id="387"/>
      <w:bookmarkEnd w:id="388"/>
      <w:bookmarkEnd w:id="389"/>
      <w:bookmarkEnd w:id="390"/>
      <w:bookmarkEnd w:id="391"/>
      <w:bookmarkEnd w:id="392"/>
      <w:bookmarkEnd w:id="393"/>
      <w:bookmarkEnd w:id="394"/>
      <w:bookmarkEnd w:id="395"/>
      <w:bookmarkEnd w:id="396"/>
      <w:bookmarkEnd w:id="397"/>
      <w:bookmarkEnd w:id="398"/>
    </w:p>
    <w:p>
      <w:pPr>
        <w:pStyle w:val="15"/>
        <w:ind w:firstLine="64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1.积极参与国际竞争与合作。</w:t>
      </w:r>
      <w:r>
        <w:rPr>
          <w:rFonts w:hint="eastAsia" w:ascii="仿宋" w:hAnsi="仿宋" w:eastAsia="仿宋" w:cs="仿宋"/>
          <w:color w:val="auto"/>
          <w:sz w:val="32"/>
          <w:szCs w:val="32"/>
          <w:highlight w:val="none"/>
        </w:rPr>
        <w:t>立足优势产业，充分发挥技术优势和创新特色，在更高水平、更广领域展开科技交流合作，配置创新资源，塑造创新优势。支持有实力的研究机构、科技园区和企业开展国际科技交流与合作，支持企业建立国际研发平台、孵化器，支持企业通过技术授权、技术并购等方式获取国际先进技术。依托合芜蚌国家自主创新示范区，鼓励在硅基、生物基新材料、新一代信息技术、高端装备制造等优势领域参与国际大科学计划和大科学工程，推动中建材蚌埠玻璃设计院、丰原集团等龙头骨干企业的优势产能和优势技术“走出去”，培育跨区域企业集团。</w:t>
      </w:r>
    </w:p>
    <w:p>
      <w:pPr>
        <w:pStyle w:val="15"/>
        <w:ind w:firstLine="640"/>
        <w:rPr>
          <w:rFonts w:ascii="方正仿宋简体" w:hAnsi="方正仿宋简体" w:eastAsia="方正仿宋简体" w:cs="方正仿宋简体"/>
          <w:color w:val="auto"/>
          <w:sz w:val="32"/>
          <w:szCs w:val="32"/>
          <w:highlight w:val="none"/>
        </w:rPr>
      </w:pPr>
      <w:r>
        <w:rPr>
          <w:rFonts w:hint="eastAsia" w:ascii="仿宋" w:hAnsi="仿宋" w:eastAsia="仿宋" w:cs="仿宋"/>
          <w:b/>
          <w:bCs/>
          <w:color w:val="auto"/>
          <w:sz w:val="32"/>
          <w:szCs w:val="32"/>
          <w:highlight w:val="none"/>
        </w:rPr>
        <w:t>2.积极参与“一带一路”建设。</w:t>
      </w:r>
      <w:r>
        <w:rPr>
          <w:rFonts w:hint="eastAsia" w:ascii="仿宋" w:hAnsi="仿宋" w:eastAsia="仿宋" w:cs="仿宋"/>
          <w:color w:val="auto"/>
          <w:sz w:val="32"/>
          <w:szCs w:val="32"/>
          <w:highlight w:val="none"/>
        </w:rPr>
        <w:t>充分发挥蚌埠区位优势，对接全球科技资源，积极参与国际竞争与合作，扩展创新空间。落实“一带一路”科技创新行动计划，在科技园区、联合实验室、技术转移方面加强与沿线国家的交流合作。以支持跨境电子商务为重点，完善跨境电商发展支持政策，稳步发展跨境电商新业态，推进跨境电商园区建设。围绕贸易便利化，充分发挥自贸区引领作用。稳定“蚌西欧”班列开行，扩大铁海联运规模，推动水运外贸集装箱班轮航线扩容增量。</w:t>
      </w:r>
    </w:p>
    <w:p>
      <w:pPr>
        <w:pStyle w:val="15"/>
        <w:numPr>
          <w:ilvl w:val="0"/>
          <w:numId w:val="0"/>
        </w:numPr>
        <w:ind w:firstLine="643" w:firstLineChars="200"/>
        <w:outlineLvl w:val="2"/>
        <w:rPr>
          <w:rFonts w:hint="eastAsia" w:ascii="仿宋" w:hAnsi="仿宋" w:eastAsia="仿宋" w:cs="仿宋"/>
          <w:b/>
          <w:bCs/>
          <w:color w:val="auto"/>
          <w:sz w:val="32"/>
          <w:szCs w:val="32"/>
          <w:highlight w:val="none"/>
        </w:rPr>
      </w:pPr>
      <w:bookmarkStart w:id="399" w:name="_Toc27208"/>
      <w:bookmarkStart w:id="400" w:name="_Toc17007"/>
      <w:bookmarkStart w:id="401" w:name="_Toc29039"/>
      <w:bookmarkStart w:id="402" w:name="_Toc28597"/>
      <w:bookmarkStart w:id="403" w:name="_Toc26068"/>
      <w:bookmarkStart w:id="404" w:name="_Toc19304"/>
      <w:bookmarkStart w:id="405" w:name="_Toc5612"/>
      <w:bookmarkStart w:id="406" w:name="_Toc26581"/>
      <w:bookmarkStart w:id="407" w:name="_Toc9351"/>
      <w:bookmarkStart w:id="408" w:name="_Toc100851662"/>
      <w:bookmarkStart w:id="409" w:name="_Toc10653"/>
      <w:bookmarkStart w:id="410" w:name="_Toc12104"/>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健全机制汇聚发展新动能</w:t>
      </w:r>
      <w:bookmarkEnd w:id="399"/>
      <w:bookmarkEnd w:id="400"/>
      <w:bookmarkEnd w:id="401"/>
      <w:bookmarkEnd w:id="402"/>
      <w:bookmarkEnd w:id="403"/>
      <w:bookmarkEnd w:id="404"/>
      <w:bookmarkEnd w:id="405"/>
      <w:bookmarkEnd w:id="406"/>
      <w:bookmarkEnd w:id="407"/>
      <w:bookmarkEnd w:id="408"/>
      <w:bookmarkEnd w:id="409"/>
      <w:bookmarkEnd w:id="410"/>
    </w:p>
    <w:p>
      <w:pPr>
        <w:pStyle w:val="15"/>
        <w:ind w:firstLine="64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1.完善创新协同机制。</w:t>
      </w:r>
      <w:r>
        <w:rPr>
          <w:rFonts w:hint="eastAsia" w:ascii="仿宋" w:hAnsi="仿宋" w:eastAsia="仿宋" w:cs="仿宋"/>
          <w:color w:val="auto"/>
          <w:sz w:val="32"/>
          <w:szCs w:val="32"/>
          <w:highlight w:val="none"/>
        </w:rPr>
        <w:t>深化体制机制改革，鼓励先行先试，推动各级科技创新规划有效衔接，共塑一体化科技创新制度框架。抢抓沿海发达地区产业梯度转移机遇，立足主导产业优势，建立合芜蚌国家自主创新示范区和中国（安徽）自由贸易试验区蚌埠片区“双自联动”机制，实现优惠政策上的双向叠加。积极参与长三角科技创新规划会商机制，针对重点领域和重大科技问题，争取联合编制科技创新专项规划。完善重大基础研究和关键核心技术突破等联合攻关机制，参与建设一流高校与科研机构的智库联盟。打造跨行政区域的公共服务合作机制和知识产权信息共建共享机制，积极利用协同创新成果。</w:t>
      </w:r>
    </w:p>
    <w:p>
      <w:pPr>
        <w:pStyle w:val="15"/>
        <w:ind w:firstLine="64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2.创新“双招双引”工作机制。</w:t>
      </w:r>
      <w:r>
        <w:rPr>
          <w:rFonts w:hint="eastAsia" w:ascii="仿宋" w:hAnsi="仿宋" w:eastAsia="仿宋" w:cs="仿宋"/>
          <w:color w:val="auto"/>
          <w:sz w:val="32"/>
          <w:szCs w:val="32"/>
          <w:highlight w:val="none"/>
        </w:rPr>
        <w:t>围绕硅基、生物基新材料等重点产业，明确产业链强链、补链环节，实施“强链壮企”行动。对标“双招双引”新兴产业，推进“六个一”招商工作机制，制定产业链重点环节招商指导目录，制定个性化招商方案，探索“蚌埠模式”，推进产业链招引组招商、驻点招商，打造专业化招商队伍。瞄准长三角、珠三角、京津冀等创新高地，引入“基金+项目”“技术+资本+市场”等招商新模式，深度谋划开展各类产业招商专题推介、点对点招商、小分队招商，引进高校院所、中介平台、科技型企业、配套型中小企业等资源。以构筑大企业生态圈为目标，鼓励龙头企业通过股权投资、技术入股、并购科技型中小企业等方式开展招商活动。坚持招商带动，充分利用投资促进平台开展招商推介，提升“双招双引”质效。</w:t>
      </w:r>
    </w:p>
    <w:p>
      <w:pPr>
        <w:ind w:left="640"/>
        <w:outlineLvl w:val="1"/>
        <w:rPr>
          <w:rFonts w:hint="eastAsia" w:ascii="楷体" w:hAnsi="楷体" w:eastAsia="楷体" w:cs="楷体"/>
          <w:bCs/>
          <w:color w:val="auto"/>
          <w:sz w:val="32"/>
          <w:szCs w:val="32"/>
          <w:highlight w:val="none"/>
        </w:rPr>
      </w:pPr>
      <w:bookmarkStart w:id="411" w:name="_Toc32543"/>
      <w:bookmarkStart w:id="412" w:name="_Toc14069"/>
      <w:bookmarkStart w:id="413" w:name="_Toc12962"/>
      <w:bookmarkStart w:id="414" w:name="_Toc100851663"/>
      <w:bookmarkStart w:id="415" w:name="_Toc20041"/>
      <w:bookmarkStart w:id="416" w:name="_Toc12488"/>
      <w:bookmarkStart w:id="417" w:name="_Toc21969"/>
      <w:bookmarkStart w:id="418" w:name="_Toc9818"/>
      <w:bookmarkStart w:id="419" w:name="_Toc24714"/>
      <w:bookmarkStart w:id="420" w:name="_Toc9243"/>
      <w:bookmarkStart w:id="421" w:name="_Toc21387"/>
      <w:bookmarkStart w:id="422" w:name="_Toc73005673"/>
      <w:bookmarkStart w:id="423" w:name="_Toc21187"/>
      <w:r>
        <w:rPr>
          <w:rFonts w:hint="eastAsia" w:ascii="楷体" w:hAnsi="楷体" w:eastAsia="楷体" w:cs="楷体"/>
          <w:bCs/>
          <w:color w:val="auto"/>
          <w:sz w:val="32"/>
          <w:szCs w:val="32"/>
          <w:highlight w:val="none"/>
        </w:rPr>
        <w:t>第八节  优化创新生态环境，激发创新主体新活力</w:t>
      </w:r>
      <w:bookmarkEnd w:id="411"/>
      <w:bookmarkEnd w:id="412"/>
      <w:bookmarkEnd w:id="413"/>
      <w:bookmarkEnd w:id="414"/>
      <w:bookmarkEnd w:id="415"/>
      <w:bookmarkEnd w:id="416"/>
      <w:bookmarkEnd w:id="417"/>
      <w:bookmarkEnd w:id="418"/>
      <w:bookmarkEnd w:id="419"/>
      <w:bookmarkEnd w:id="420"/>
      <w:bookmarkEnd w:id="421"/>
      <w:bookmarkEnd w:id="422"/>
      <w:bookmarkEnd w:id="423"/>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着力构建有利于激发和保护创新创业的生态环境，深化科技创新体制机制改革，不断优化科技创新政策，完善政策法规体系，强化知识产权创造、保护和运用，聚焦发展重点领域，发挥科技支撑和推动作用，提高全民科学文化素养，进一步营造“尊重知识、崇尚创新”的浓厚社会氛围，激发创新主体新活力。</w:t>
      </w:r>
    </w:p>
    <w:p>
      <w:pPr>
        <w:ind w:left="420"/>
        <w:outlineLvl w:val="2"/>
        <w:rPr>
          <w:rFonts w:hint="eastAsia" w:ascii="仿宋" w:hAnsi="仿宋" w:eastAsia="仿宋" w:cs="仿宋"/>
          <w:b/>
          <w:color w:val="auto"/>
          <w:sz w:val="32"/>
          <w:szCs w:val="32"/>
          <w:highlight w:val="none"/>
        </w:rPr>
      </w:pPr>
      <w:bookmarkStart w:id="424" w:name="_Toc21247"/>
      <w:bookmarkStart w:id="425" w:name="_Toc450"/>
      <w:bookmarkStart w:id="426" w:name="_Toc14290"/>
      <w:bookmarkStart w:id="427" w:name="_Toc19869"/>
      <w:bookmarkStart w:id="428" w:name="_Toc21785"/>
      <w:bookmarkStart w:id="429" w:name="_Toc7824"/>
      <w:bookmarkStart w:id="430" w:name="_Toc19765"/>
      <w:bookmarkStart w:id="431" w:name="_Toc73005674"/>
      <w:bookmarkStart w:id="432" w:name="_Toc29366"/>
      <w:bookmarkStart w:id="433" w:name="_Toc25770"/>
      <w:bookmarkStart w:id="434" w:name="_Toc32354"/>
      <w:bookmarkStart w:id="435" w:name="_Toc100851664"/>
      <w:bookmarkStart w:id="436" w:name="_Toc5606"/>
      <w:bookmarkStart w:id="437" w:name="_Toc24863"/>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营造良好创新创业环境</w:t>
      </w:r>
      <w:bookmarkEnd w:id="424"/>
      <w:bookmarkEnd w:id="425"/>
      <w:bookmarkEnd w:id="426"/>
      <w:bookmarkEnd w:id="427"/>
      <w:bookmarkEnd w:id="428"/>
      <w:bookmarkEnd w:id="429"/>
      <w:bookmarkEnd w:id="430"/>
      <w:bookmarkEnd w:id="431"/>
      <w:bookmarkEnd w:id="432"/>
      <w:bookmarkEnd w:id="433"/>
      <w:bookmarkEnd w:id="434"/>
      <w:bookmarkEnd w:id="435"/>
      <w:bookmarkEnd w:id="436"/>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1.优化科技创新政策体系</w:t>
      </w:r>
      <w:bookmarkEnd w:id="437"/>
      <w:r>
        <w:rPr>
          <w:rFonts w:hint="eastAsia" w:ascii="仿宋" w:hAnsi="仿宋" w:eastAsia="仿宋" w:cs="仿宋"/>
          <w:b/>
          <w:color w:val="auto"/>
          <w:sz w:val="32"/>
          <w:szCs w:val="32"/>
          <w:highlight w:val="none"/>
        </w:rPr>
        <w:t>。</w:t>
      </w:r>
      <w:r>
        <w:rPr>
          <w:rFonts w:hint="eastAsia" w:ascii="仿宋" w:hAnsi="仿宋" w:eastAsia="仿宋" w:cs="仿宋"/>
          <w:color w:val="auto"/>
          <w:sz w:val="32"/>
          <w:szCs w:val="32"/>
          <w:highlight w:val="none"/>
        </w:rPr>
        <w:t>积极衔接国家、省支持科技创新的法律、法规和政策，把握长三角一体化发展和自贸试验区设立的重大战略机遇，</w:t>
      </w:r>
      <w:bookmarkStart w:id="438" w:name="_Hlk98115600"/>
      <w:r>
        <w:rPr>
          <w:rFonts w:hint="eastAsia" w:ascii="仿宋" w:hAnsi="仿宋" w:eastAsia="仿宋" w:cs="仿宋"/>
          <w:color w:val="auto"/>
          <w:sz w:val="32"/>
          <w:szCs w:val="32"/>
          <w:highlight w:val="none"/>
        </w:rPr>
        <w:t>加强“合芜蚌自主创新综合配套改革试验区”，“中国（安徽）自由贸易试验区蚌埠片区”与“皖北承接产业转移集聚区示范区”三区联动与合作。</w:t>
      </w:r>
      <w:bookmarkEnd w:id="438"/>
      <w:r>
        <w:rPr>
          <w:rFonts w:hint="eastAsia" w:ascii="仿宋" w:hAnsi="仿宋" w:eastAsia="仿宋" w:cs="仿宋"/>
          <w:color w:val="auto"/>
          <w:sz w:val="32"/>
          <w:szCs w:val="32"/>
          <w:highlight w:val="none"/>
        </w:rPr>
        <w:t>以</w:t>
      </w:r>
      <w:r>
        <w:rPr>
          <w:rFonts w:hint="eastAsia" w:ascii="仿宋" w:hAnsi="仿宋" w:eastAsia="仿宋" w:cs="仿宋"/>
          <w:color w:val="auto"/>
          <w:sz w:val="32"/>
          <w:szCs w:val="32"/>
          <w:highlight w:val="none"/>
          <w:lang w:val="en-US" w:eastAsia="zh-CN"/>
        </w:rPr>
        <w:t>国家</w:t>
      </w:r>
      <w:r>
        <w:rPr>
          <w:rFonts w:hint="eastAsia" w:ascii="仿宋" w:hAnsi="仿宋" w:eastAsia="仿宋" w:cs="仿宋"/>
          <w:color w:val="auto"/>
          <w:sz w:val="32"/>
          <w:szCs w:val="32"/>
          <w:highlight w:val="none"/>
        </w:rPr>
        <w:t>创新型城市建设为契机，围绕支持科技创新平台建设、科技成果转化、科技创新人才管理等主要突破方向，充分借鉴先进地区的创新性政策经验，完善符合蚌埠市发展导向和阶段性需求的科技创新政策体系。简化办事流程，优化政策优惠享受办理程序，确保国家财政税收优惠政策及时落地。建立蚌埠市科技创新政策评估机制，及时修改阻碍科技创新的政策条款和制度。</w:t>
      </w:r>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2.完善科技创新体制机制。</w:t>
      </w:r>
      <w:r>
        <w:rPr>
          <w:rFonts w:hint="eastAsia" w:ascii="仿宋" w:hAnsi="仿宋" w:eastAsia="仿宋" w:cs="仿宋"/>
          <w:color w:val="auto"/>
          <w:sz w:val="32"/>
          <w:szCs w:val="32"/>
          <w:highlight w:val="none"/>
        </w:rPr>
        <w:t>采取建立科技成果强制转化机制、强化科技成果转化激励等措施，提升科技成果集聚和转化效率。深入推进“三评”改革，健全以创新能力、质量、实效、贡献为导向的科技人才评价体系。</w:t>
      </w:r>
      <w:r>
        <w:rPr>
          <w:rFonts w:hint="eastAsia" w:ascii="仿宋" w:hAnsi="仿宋" w:eastAsia="仿宋" w:cs="仿宋"/>
          <w:color w:val="auto"/>
          <w:kern w:val="0"/>
          <w:sz w:val="32"/>
          <w:szCs w:val="32"/>
          <w:highlight w:val="none"/>
        </w:rPr>
        <w:t>减轻科研人员负担，赋予科研单位和科研人员在技术路线选择、科研经费使用等更多自主权，激发广大科技人员创新创业积极性</w:t>
      </w:r>
      <w:r>
        <w:rPr>
          <w:rFonts w:hint="eastAsia" w:ascii="仿宋" w:hAnsi="仿宋" w:eastAsia="仿宋" w:cs="仿宋"/>
          <w:color w:val="auto"/>
          <w:sz w:val="32"/>
          <w:szCs w:val="32"/>
          <w:highlight w:val="none"/>
        </w:rPr>
        <w:t>。不断深化“放管服”改革，积极探索推进“互联网+政务服务”模式。探索建立以科技创新为核心、以知识产权为重点、以产业发展为目标的创新驱动发展评价指标，纳入政府工作目标和绩效考核，落实一把手抓第一生产力的推进机制。</w:t>
      </w:r>
    </w:p>
    <w:p>
      <w:pPr>
        <w:pStyle w:val="15"/>
        <w:ind w:firstLine="64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3.弘扬创新创业文化。</w:t>
      </w:r>
      <w:r>
        <w:rPr>
          <w:rFonts w:hint="eastAsia" w:ascii="仿宋" w:hAnsi="仿宋" w:eastAsia="仿宋" w:cs="仿宋"/>
          <w:color w:val="auto"/>
          <w:sz w:val="32"/>
          <w:szCs w:val="32"/>
          <w:highlight w:val="none"/>
        </w:rPr>
        <w:t>鼓励企业员工开展岗位创新，参与工艺改造和产品设计。推进创客文化进校园、进社区、进工厂、进农村，推动众创、众包、众扶、众筹新模式发展，以众智促创新、以众包促变革、以众扶促创业、以众筹促融资。举办“科技创新月”、创新创业大赛、工业设计大赛等活动，支持众创空间开展创新创业沙龙、特训营、项目路演等活动，使创新发展成为全民共识，创新发展成为企业家自觉行动。</w:t>
      </w:r>
      <w:bookmarkStart w:id="439" w:name="_Toc6814"/>
      <w:bookmarkStart w:id="440" w:name="_Toc14526"/>
      <w:bookmarkStart w:id="441" w:name="_Toc15937"/>
      <w:bookmarkStart w:id="442" w:name="_Toc26447"/>
      <w:bookmarkStart w:id="443" w:name="_Toc7227"/>
      <w:bookmarkStart w:id="444" w:name="_Toc26932"/>
      <w:bookmarkStart w:id="445" w:name="_Toc73005675"/>
      <w:bookmarkStart w:id="446" w:name="_Toc16870"/>
      <w:bookmarkStart w:id="447" w:name="_Toc100851665"/>
      <w:bookmarkStart w:id="448" w:name="_Toc2628"/>
      <w:bookmarkStart w:id="449" w:name="_Toc8649"/>
      <w:bookmarkStart w:id="450" w:name="_Toc574"/>
      <w:bookmarkStart w:id="451" w:name="_Toc798"/>
    </w:p>
    <w:p>
      <w:pPr>
        <w:pStyle w:val="15"/>
        <w:ind w:firstLine="64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（二）实施知识产权和技术标准战略</w:t>
      </w:r>
      <w:bookmarkEnd w:id="439"/>
      <w:bookmarkEnd w:id="440"/>
      <w:bookmarkEnd w:id="441"/>
      <w:bookmarkEnd w:id="442"/>
      <w:bookmarkEnd w:id="443"/>
      <w:bookmarkEnd w:id="444"/>
      <w:bookmarkEnd w:id="445"/>
      <w:bookmarkEnd w:id="446"/>
      <w:bookmarkEnd w:id="447"/>
      <w:bookmarkEnd w:id="448"/>
      <w:bookmarkEnd w:id="449"/>
      <w:bookmarkEnd w:id="450"/>
      <w:bookmarkEnd w:id="451"/>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1.健全知识产权保护和运营机制。</w:t>
      </w:r>
      <w:bookmarkStart w:id="452" w:name="_Hlk98115860"/>
      <w:r>
        <w:rPr>
          <w:rFonts w:hint="eastAsia" w:ascii="仿宋" w:hAnsi="仿宋" w:eastAsia="仿宋" w:cs="仿宋"/>
          <w:color w:val="auto"/>
          <w:sz w:val="32"/>
          <w:szCs w:val="32"/>
          <w:highlight w:val="none"/>
        </w:rPr>
        <w:t>持续推进知识产权层面的“司法体制综合配套改革”，</w:t>
      </w:r>
      <w:bookmarkEnd w:id="452"/>
      <w:r>
        <w:rPr>
          <w:rFonts w:hint="eastAsia" w:ascii="仿宋" w:hAnsi="仿宋" w:eastAsia="仿宋" w:cs="仿宋"/>
          <w:bCs/>
          <w:color w:val="auto"/>
          <w:sz w:val="32"/>
          <w:szCs w:val="32"/>
          <w:highlight w:val="none"/>
        </w:rPr>
        <w:t>完善知识产权法律法规规章，改革完善知识产权重大政策，完善新兴领域和特定领域知识产权规则。加强保护长效机制建设，</w:t>
      </w:r>
      <w:r>
        <w:rPr>
          <w:rFonts w:hint="eastAsia" w:ascii="仿宋" w:hAnsi="仿宋" w:eastAsia="仿宋" w:cs="仿宋"/>
          <w:color w:val="auto"/>
          <w:sz w:val="32"/>
          <w:szCs w:val="32"/>
          <w:highlight w:val="none"/>
        </w:rPr>
        <w:t>打通知识产权创造、运用、保护、管理、服务全链条，健全知识产权综合管理体制。促进知识产权市场化运营，支持设立区域性知识产权运营中心，推进知识产权转化实施及产业化，引导和鼓励全社会重视知识产权的创造与保护。强化知识产权司法保护，增强知识产权行政保护，加快推进知识产权民事、行政、刑事审判“三合一”工作。提高知识产权公共服务水平，积极落实评价体系，继续整合优化各类服务窗口。提高企业知识产权维权的支持力度和维权援助资金额度，培育一批知识产权优势企业和示范企业。</w:t>
      </w:r>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2.推进技术标准体系建设。</w:t>
      </w:r>
      <w:r>
        <w:rPr>
          <w:rFonts w:hint="eastAsia" w:ascii="仿宋" w:hAnsi="仿宋" w:eastAsia="仿宋" w:cs="仿宋"/>
          <w:bCs/>
          <w:color w:val="auto"/>
          <w:sz w:val="32"/>
          <w:szCs w:val="32"/>
          <w:highlight w:val="none"/>
        </w:rPr>
        <w:t>优化技术标准体系，深化标准化工作改革，完善标准制定程序，落实创新驱动战略，发挥市场主体作用。完善标准实施推进机制，充分发挥企业在标准实施中的作用，</w:t>
      </w:r>
      <w:r>
        <w:rPr>
          <w:rFonts w:hint="eastAsia" w:ascii="仿宋" w:hAnsi="仿宋" w:eastAsia="仿宋" w:cs="仿宋"/>
          <w:color w:val="auto"/>
          <w:sz w:val="32"/>
          <w:szCs w:val="32"/>
          <w:highlight w:val="none"/>
        </w:rPr>
        <w:t>强化全社会重视技术标准的创造与保护，引导各类创新主体在关键前沿领域加强技术标准布局。提升技术标准化服务能力，健全完善关于硅基、生物基新材料、高端装备制造、新一代信息技术等战略新兴产业的技术标准体系，支持龙头企业主持或参与制订相关战略新兴产业领域的国家和行业标准，支持组建区域、产业标准联盟，推进国家级产业技术标准创新基地建设。建立标准分类监督机制，建立标准实施的监督和评估制度。</w:t>
      </w:r>
      <w:bookmarkStart w:id="453" w:name="_Toc4267"/>
      <w:bookmarkStart w:id="454" w:name="_Toc22420"/>
      <w:bookmarkStart w:id="455" w:name="_Toc6878"/>
      <w:bookmarkStart w:id="456" w:name="_Toc16752"/>
      <w:bookmarkStart w:id="457" w:name="_Toc28162"/>
      <w:bookmarkStart w:id="458" w:name="_Toc2958"/>
      <w:bookmarkStart w:id="459" w:name="_Toc14058"/>
      <w:bookmarkStart w:id="460" w:name="_Toc3806"/>
      <w:bookmarkStart w:id="461" w:name="_Toc73005676"/>
      <w:bookmarkStart w:id="462" w:name="_Toc7035"/>
      <w:bookmarkStart w:id="463" w:name="_Toc13083"/>
      <w:bookmarkStart w:id="464" w:name="_Toc100851666"/>
      <w:bookmarkStart w:id="465" w:name="_Toc3172"/>
    </w:p>
    <w:p>
      <w:pPr>
        <w:ind w:firstLine="643" w:firstLineChars="2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（三）统筹推进科技惠民工程</w:t>
      </w:r>
      <w:bookmarkEnd w:id="453"/>
      <w:bookmarkEnd w:id="454"/>
      <w:bookmarkEnd w:id="455"/>
      <w:bookmarkEnd w:id="456"/>
      <w:bookmarkEnd w:id="457"/>
      <w:bookmarkEnd w:id="458"/>
      <w:bookmarkEnd w:id="459"/>
      <w:bookmarkEnd w:id="460"/>
      <w:bookmarkEnd w:id="461"/>
      <w:bookmarkEnd w:id="462"/>
      <w:bookmarkEnd w:id="463"/>
      <w:bookmarkEnd w:id="464"/>
      <w:bookmarkEnd w:id="465"/>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1.推动社会领域科技创新。</w:t>
      </w:r>
      <w:r>
        <w:rPr>
          <w:rFonts w:hint="eastAsia" w:ascii="仿宋" w:hAnsi="仿宋" w:eastAsia="仿宋" w:cs="仿宋"/>
          <w:color w:val="auto"/>
          <w:sz w:val="32"/>
          <w:szCs w:val="32"/>
          <w:highlight w:val="none"/>
        </w:rPr>
        <w:t>围绕大气、水和土壤污染防控、湿地保护、固体废弃物综合利用、绿色节能建筑、循环经济、生态农业等领域，依托龙头骨干企业，突破一批关键技术，推动新技术、新工艺和新材料的示范应用，建设一批民生科技成果转化的示范工程。加快气象科技创新，提升重大战略气象服务保障的科技支撑能力。完善公共安全科技创新体系，推动社会安全事件的预防、监测、预警、管控和处置等关键技术开发示范，支持气象监测预报预警关键技术的研发，全面提高公共安全综合防御能力和保障能力。建立和强化食品安全检测、评估、溯源技术能力和体系，开展全程质量安全监测与控制技术应用示范，促进相关技术和产品产业化。全面推进数字蚌埠建设，打造淮河流域数字经济发展示范区。</w:t>
      </w:r>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2.提升全民科学素养。</w:t>
      </w:r>
      <w:r>
        <w:rPr>
          <w:rFonts w:hint="eastAsia" w:ascii="仿宋" w:hAnsi="仿宋" w:eastAsia="仿宋" w:cs="仿宋"/>
          <w:color w:val="auto"/>
          <w:sz w:val="32"/>
          <w:szCs w:val="32"/>
          <w:highlight w:val="none"/>
        </w:rPr>
        <w:t>积极倡导科学、文明、健康的生产方式和生活方式，加强科普设施建设，鼓励社会力量兴建或者参与经营科普场馆，引导企业依托自身发展特色合理规划建设各类主题性科普场馆。广泛开展科普宣传活动，加强传统媒体和新媒体科普宣传力度，促进全市科普资源共建共享。创新科普内容和形式，推进科普由体验互动式向创新教育式转型。推进科普知识进学校、进农村、进社区、进企业，实现群众性活动区域、行业全覆盖。奖励在科普工作中做出突出贡献的组织和个人。大力促进科普内容创作，形成一大批科普原创作品。打造蚌埠科普活动品牌。</w:t>
      </w:r>
      <w:bookmarkStart w:id="466" w:name="_Toc2646"/>
      <w:bookmarkStart w:id="467" w:name="_Toc12289"/>
      <w:bookmarkStart w:id="468" w:name="_Toc14230"/>
      <w:bookmarkStart w:id="469" w:name="_Toc73005677"/>
      <w:bookmarkStart w:id="470" w:name="_Toc5645"/>
      <w:bookmarkStart w:id="471" w:name="_Toc29977"/>
      <w:bookmarkStart w:id="472" w:name="_Toc24273"/>
      <w:bookmarkStart w:id="473" w:name="_Toc20954"/>
      <w:bookmarkStart w:id="474" w:name="_Toc3969"/>
      <w:bookmarkStart w:id="475" w:name="_Toc31364"/>
      <w:bookmarkStart w:id="476" w:name="_Toc10966"/>
      <w:bookmarkStart w:id="477" w:name="_Toc21152"/>
    </w:p>
    <w:p>
      <w:pPr>
        <w:pStyle w:val="15"/>
        <w:numPr>
          <w:ilvl w:val="0"/>
          <w:numId w:val="0"/>
        </w:numPr>
        <w:jc w:val="center"/>
        <w:outlineLvl w:val="0"/>
        <w:rPr>
          <w:rFonts w:hint="eastAsia" w:ascii="黑体" w:hAnsi="黑体" w:eastAsia="黑体" w:cs="黑体"/>
          <w:bCs/>
          <w:color w:val="auto"/>
          <w:sz w:val="36"/>
          <w:szCs w:val="36"/>
          <w:highlight w:val="none"/>
          <w:lang w:val="en-US" w:eastAsia="zh-CN"/>
        </w:rPr>
      </w:pPr>
      <w:bookmarkStart w:id="478" w:name="_Toc100851667"/>
    </w:p>
    <w:p>
      <w:pPr>
        <w:pStyle w:val="15"/>
        <w:numPr>
          <w:ilvl w:val="0"/>
          <w:numId w:val="0"/>
        </w:numPr>
        <w:jc w:val="center"/>
        <w:outlineLvl w:val="0"/>
        <w:rPr>
          <w:rFonts w:hint="eastAsia" w:ascii="黑体" w:hAnsi="黑体" w:eastAsia="黑体" w:cs="黑体"/>
          <w:bCs/>
          <w:color w:val="auto"/>
          <w:sz w:val="36"/>
          <w:szCs w:val="36"/>
          <w:highlight w:val="none"/>
        </w:rPr>
      </w:pPr>
      <w:r>
        <w:rPr>
          <w:rFonts w:hint="eastAsia" w:ascii="黑体" w:hAnsi="黑体" w:eastAsia="黑体" w:cs="黑体"/>
          <w:bCs/>
          <w:color w:val="auto"/>
          <w:sz w:val="36"/>
          <w:szCs w:val="36"/>
          <w:highlight w:val="none"/>
          <w:lang w:val="en-US" w:eastAsia="zh-CN"/>
        </w:rPr>
        <w:t xml:space="preserve">第四章 </w:t>
      </w:r>
      <w:r>
        <w:rPr>
          <w:rFonts w:hint="eastAsia" w:ascii="黑体" w:hAnsi="黑体" w:eastAsia="黑体" w:cs="黑体"/>
          <w:bCs/>
          <w:color w:val="auto"/>
          <w:sz w:val="36"/>
          <w:szCs w:val="36"/>
          <w:highlight w:val="none"/>
        </w:rPr>
        <w:t>保障措施</w:t>
      </w:r>
      <w:bookmarkEnd w:id="466"/>
      <w:bookmarkEnd w:id="467"/>
      <w:bookmarkEnd w:id="468"/>
      <w:bookmarkEnd w:id="469"/>
      <w:bookmarkEnd w:id="470"/>
      <w:bookmarkEnd w:id="471"/>
      <w:bookmarkEnd w:id="472"/>
      <w:bookmarkEnd w:id="473"/>
      <w:bookmarkEnd w:id="474"/>
      <w:bookmarkEnd w:id="475"/>
      <w:bookmarkEnd w:id="476"/>
      <w:bookmarkEnd w:id="477"/>
      <w:bookmarkEnd w:id="478"/>
      <w:bookmarkStart w:id="479" w:name="_Toc14215"/>
      <w:bookmarkStart w:id="480" w:name="_Toc18290"/>
      <w:bookmarkStart w:id="481" w:name="_Toc22794"/>
      <w:bookmarkStart w:id="482" w:name="_Toc4867"/>
      <w:bookmarkStart w:id="483" w:name="_Toc459195639"/>
      <w:bookmarkStart w:id="484" w:name="_Toc5036"/>
      <w:bookmarkStart w:id="485" w:name="_Toc24728"/>
      <w:bookmarkStart w:id="486" w:name="_Toc21422"/>
      <w:bookmarkStart w:id="487" w:name="_Toc9360"/>
      <w:bookmarkStart w:id="488" w:name="_Toc100851668"/>
      <w:bookmarkStart w:id="489" w:name="_Toc6406"/>
      <w:bookmarkStart w:id="490" w:name="_Toc4174"/>
      <w:bookmarkStart w:id="491" w:name="_Toc73005678"/>
      <w:bookmarkStart w:id="492" w:name="_Toc17832"/>
    </w:p>
    <w:p>
      <w:pPr>
        <w:pStyle w:val="15"/>
        <w:numPr>
          <w:ilvl w:val="0"/>
          <w:numId w:val="0"/>
        </w:numPr>
        <w:jc w:val="center"/>
        <w:outlineLvl w:val="0"/>
        <w:rPr>
          <w:rFonts w:ascii="方正楷体简体" w:hAnsi="方正楷体简体" w:eastAsia="方正楷体简体" w:cs="方正楷体简体"/>
          <w:bCs/>
          <w:color w:val="auto"/>
          <w:sz w:val="32"/>
          <w:szCs w:val="32"/>
          <w:highlight w:val="none"/>
        </w:rPr>
      </w:pPr>
      <w:r>
        <w:rPr>
          <w:rFonts w:hint="eastAsia" w:ascii="楷体" w:hAnsi="楷体" w:eastAsia="楷体" w:cs="楷体"/>
          <w:bCs/>
          <w:color w:val="auto"/>
          <w:sz w:val="32"/>
          <w:szCs w:val="32"/>
          <w:highlight w:val="none"/>
          <w:lang w:val="en-US" w:eastAsia="zh-CN"/>
        </w:rPr>
        <w:t xml:space="preserve">第一节 </w:t>
      </w:r>
      <w:r>
        <w:rPr>
          <w:rFonts w:hint="eastAsia" w:ascii="楷体" w:hAnsi="楷体" w:eastAsia="楷体" w:cs="楷体"/>
          <w:bCs/>
          <w:color w:val="auto"/>
          <w:sz w:val="32"/>
          <w:szCs w:val="32"/>
          <w:highlight w:val="none"/>
        </w:rPr>
        <w:t>加强组织领导</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深入实施创新驱动发展战略、科教兴市战略、人才强市战略，坚决贯彻落实好党中央、省委省政府和市委市政府关于科技创新的重大决策部署，坚持创新是第一动力，系统布局建设科技创新攻坚力量体系，加快打造科技创新策源地、初步建成国家创新型城市。</w:t>
      </w:r>
      <w:bookmarkStart w:id="493" w:name="_Hlk98116766"/>
      <w:r>
        <w:rPr>
          <w:rFonts w:hint="eastAsia" w:ascii="仿宋" w:hAnsi="仿宋" w:eastAsia="仿宋" w:cs="仿宋"/>
          <w:color w:val="auto"/>
          <w:sz w:val="32"/>
          <w:szCs w:val="32"/>
          <w:highlight w:val="none"/>
        </w:rPr>
        <w:t>建立完善组织领导机制，充分发挥市委总揽全局、担当作为、协调各方的领导作用，成立蚌埠市创新领导小组，加强顶层设计和整体谋划，建立健全跨层级、跨机构、跨部门统筹协调机制与容错机制，</w:t>
      </w:r>
      <w:bookmarkEnd w:id="493"/>
      <w:r>
        <w:rPr>
          <w:rFonts w:hint="eastAsia" w:ascii="仿宋" w:hAnsi="仿宋" w:eastAsia="仿宋" w:cs="仿宋"/>
          <w:color w:val="auto"/>
          <w:sz w:val="32"/>
          <w:szCs w:val="32"/>
          <w:highlight w:val="none"/>
        </w:rPr>
        <w:t xml:space="preserve">强化市直相关部门、县区科技创新工作职能，逐级明确责任分工，实现科技创新决策科学化、服务高效化、治理精准化，以高水平科技自立自强打造蚌埠发展新优势。加强对基层科技工作的支持和指导，强化县级科技管理部门和基层科技管理人才队伍建设，引导县区制定特色产业发展实施路线图，不断提升科技支撑县区经济发展的能力。 </w:t>
      </w:r>
      <w:bookmarkStart w:id="494" w:name="_Toc24666"/>
      <w:bookmarkStart w:id="495" w:name="_Toc31942"/>
      <w:bookmarkStart w:id="496" w:name="_Toc31520"/>
      <w:bookmarkStart w:id="497" w:name="_Toc73005679"/>
      <w:bookmarkStart w:id="498" w:name="_Toc20164"/>
      <w:bookmarkStart w:id="499" w:name="_Toc30648"/>
      <w:bookmarkStart w:id="500" w:name="_Toc5881"/>
      <w:bookmarkStart w:id="501" w:name="_Toc13997"/>
      <w:bookmarkStart w:id="502" w:name="_Toc15800"/>
      <w:bookmarkStart w:id="503" w:name="_Toc5297"/>
      <w:bookmarkStart w:id="504" w:name="_Toc13504"/>
      <w:bookmarkStart w:id="505" w:name="_Toc100851669"/>
      <w:bookmarkStart w:id="506" w:name="_Toc31331"/>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val="en-US" w:eastAsia="zh-CN"/>
        </w:rPr>
        <w:t xml:space="preserve">第二节 </w:t>
      </w:r>
      <w:r>
        <w:rPr>
          <w:rFonts w:hint="eastAsia" w:ascii="楷体" w:hAnsi="楷体" w:eastAsia="楷体" w:cs="楷体"/>
          <w:bCs/>
          <w:color w:val="auto"/>
          <w:sz w:val="32"/>
          <w:szCs w:val="32"/>
          <w:highlight w:val="none"/>
        </w:rPr>
        <w:t>加大政策支持</w:t>
      </w:r>
      <w:bookmarkEnd w:id="494"/>
      <w:bookmarkEnd w:id="495"/>
      <w:bookmarkEnd w:id="496"/>
      <w:bookmarkEnd w:id="497"/>
      <w:bookmarkEnd w:id="498"/>
      <w:bookmarkEnd w:id="499"/>
      <w:bookmarkEnd w:id="500"/>
      <w:bookmarkEnd w:id="501"/>
      <w:bookmarkEnd w:id="502"/>
      <w:bookmarkEnd w:id="503"/>
      <w:bookmarkEnd w:id="504"/>
      <w:bookmarkEnd w:id="505"/>
      <w:bookmarkEnd w:id="506"/>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认真贯彻落实国家和省级科技创新扶持政策，在打造科技创新策源地、强化产业创新引领支撑、推动科技成果转移转化、培优科技创新载体、构筑创新人才新高地、深化科技金融结合、优化创新创业生态环境等方面积极谋划新举措、新政策，建立完善具有蚌埠特色的科技创新政策体系。加强科技政策与财税、金融、贸易、投资、产业、教育、知识产权、社会保障、社会治理等政策的协同，提高政策的系统性、协同性与可操作性。强化促进科技创新的财税支持力度，集中支持科技创新基础研究、应用研究、平台建设和科技成果转移转化等，全面贯彻落实科技创新全链条的税收优惠政策，提高财税支持科技创新的针对性和有效性。优化整合全市科技、产业、人才等财政资金，采取以奖代补、贷款贴息、创业投资、担保等多种扶持方式，引导县区、企业、社会增加创新投入，建立健全多元化、多渠道、多层次的科技创新投入体系，提高财政科技投入绩效。</w:t>
      </w:r>
    </w:p>
    <w:p>
      <w:pPr>
        <w:numPr>
          <w:ilvl w:val="0"/>
          <w:numId w:val="0"/>
        </w:numPr>
        <w:jc w:val="center"/>
        <w:outlineLvl w:val="1"/>
        <w:rPr>
          <w:rFonts w:hint="eastAsia" w:ascii="楷体" w:hAnsi="楷体" w:eastAsia="楷体" w:cs="楷体"/>
          <w:bCs/>
          <w:color w:val="auto"/>
          <w:sz w:val="32"/>
          <w:szCs w:val="32"/>
          <w:highlight w:val="none"/>
        </w:rPr>
      </w:pPr>
      <w:bookmarkStart w:id="507" w:name="_Toc24948"/>
      <w:bookmarkStart w:id="508" w:name="_Toc3791"/>
      <w:bookmarkStart w:id="509" w:name="_Toc12720"/>
      <w:bookmarkStart w:id="510" w:name="_Toc27584"/>
      <w:bookmarkStart w:id="511" w:name="_Toc10465"/>
      <w:bookmarkStart w:id="512" w:name="_Toc1002"/>
      <w:bookmarkStart w:id="513" w:name="_Toc1946"/>
      <w:bookmarkStart w:id="514" w:name="_Toc28245"/>
      <w:bookmarkStart w:id="515" w:name="_Toc73005680"/>
      <w:bookmarkStart w:id="516" w:name="_Toc23448"/>
      <w:bookmarkStart w:id="517" w:name="_Toc21655"/>
      <w:bookmarkStart w:id="518" w:name="_Toc100851670"/>
      <w:bookmarkStart w:id="519" w:name="_Toc6853"/>
      <w:r>
        <w:rPr>
          <w:rFonts w:hint="eastAsia" w:ascii="楷体" w:hAnsi="楷体" w:eastAsia="楷体" w:cs="楷体"/>
          <w:bCs/>
          <w:color w:val="auto"/>
          <w:sz w:val="32"/>
          <w:szCs w:val="32"/>
          <w:highlight w:val="none"/>
          <w:lang w:val="en-US" w:eastAsia="zh-CN"/>
        </w:rPr>
        <w:t xml:space="preserve">第三节 </w:t>
      </w:r>
      <w:r>
        <w:rPr>
          <w:rFonts w:hint="eastAsia" w:ascii="楷体" w:hAnsi="楷体" w:eastAsia="楷体" w:cs="楷体"/>
          <w:bCs/>
          <w:color w:val="auto"/>
          <w:sz w:val="32"/>
          <w:szCs w:val="32"/>
          <w:highlight w:val="none"/>
        </w:rPr>
        <w:t>加强督查考核</w:t>
      </w:r>
      <w:bookmarkEnd w:id="507"/>
      <w:bookmarkEnd w:id="508"/>
      <w:bookmarkEnd w:id="509"/>
      <w:bookmarkEnd w:id="510"/>
      <w:bookmarkEnd w:id="511"/>
      <w:bookmarkEnd w:id="512"/>
      <w:bookmarkEnd w:id="513"/>
      <w:bookmarkEnd w:id="514"/>
      <w:bookmarkEnd w:id="515"/>
      <w:bookmarkEnd w:id="516"/>
      <w:bookmarkEnd w:id="517"/>
      <w:bookmarkEnd w:id="518"/>
      <w:bookmarkEnd w:id="519"/>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强化科技创新宏观引导，加强本规划与国家、省级科技创新发展规划、市国民经济和社会发展第十四个五年规划及其它专项规划的有机衔接，强化科技政策、科技计划与本规划的对接配套，健全规划实施组织保障机制，强化跨部门的政府科技计划联动管理，推进规划各项重点任务和重要目标落到实处。强化规划协调管理，把本规划确定的目标、任务及重点工作分解落实到年度工作计划中，保证规划实施的连续性和目标实现的可行性。以创新绩效考核为导向，进一步完善全市创新驱动的考核评价机制和考核办法，建立健全突出科技投入、创新能力、人才引进和培养、创业孵化、创新服务等考核评价指标体系。</w:t>
      </w:r>
    </w:p>
    <w:p>
      <w:pPr>
        <w:numPr>
          <w:ilvl w:val="0"/>
          <w:numId w:val="0"/>
        </w:numPr>
        <w:ind w:firstLine="640" w:firstLineChars="200"/>
        <w:jc w:val="center"/>
        <w:outlineLvl w:val="1"/>
        <w:rPr>
          <w:rFonts w:hint="eastAsia" w:ascii="楷体" w:hAnsi="楷体" w:eastAsia="楷体" w:cs="楷体"/>
          <w:bCs/>
          <w:color w:val="auto"/>
          <w:sz w:val="32"/>
          <w:szCs w:val="32"/>
          <w:highlight w:val="none"/>
        </w:rPr>
      </w:pPr>
      <w:bookmarkStart w:id="520" w:name="_Toc23630"/>
      <w:bookmarkStart w:id="521" w:name="_Toc3355"/>
      <w:bookmarkStart w:id="522" w:name="_Toc100851671"/>
      <w:bookmarkStart w:id="523" w:name="_Toc31821"/>
      <w:bookmarkStart w:id="524" w:name="_Toc10733"/>
      <w:bookmarkStart w:id="525" w:name="_Toc28227"/>
      <w:bookmarkStart w:id="526" w:name="_Toc6304"/>
      <w:bookmarkStart w:id="527" w:name="_Toc20896"/>
      <w:bookmarkStart w:id="528" w:name="_Toc31616"/>
      <w:bookmarkStart w:id="529" w:name="_Toc3920"/>
      <w:bookmarkStart w:id="530" w:name="_Toc73005681"/>
      <w:bookmarkStart w:id="531" w:name="_Toc27215"/>
      <w:bookmarkStart w:id="532" w:name="_Toc27117"/>
      <w:r>
        <w:rPr>
          <w:rFonts w:hint="eastAsia" w:ascii="楷体" w:hAnsi="楷体" w:eastAsia="楷体" w:cs="楷体"/>
          <w:bCs/>
          <w:color w:val="auto"/>
          <w:sz w:val="32"/>
          <w:szCs w:val="32"/>
          <w:highlight w:val="none"/>
          <w:lang w:val="en-US" w:eastAsia="zh-CN"/>
        </w:rPr>
        <w:t xml:space="preserve">第四节 </w:t>
      </w:r>
      <w:r>
        <w:rPr>
          <w:rFonts w:hint="eastAsia" w:ascii="楷体" w:hAnsi="楷体" w:eastAsia="楷体" w:cs="楷体"/>
          <w:bCs/>
          <w:color w:val="auto"/>
          <w:sz w:val="32"/>
          <w:szCs w:val="32"/>
          <w:highlight w:val="none"/>
        </w:rPr>
        <w:t>营造良好氛围</w:t>
      </w:r>
      <w:bookmarkEnd w:id="520"/>
      <w:bookmarkEnd w:id="521"/>
      <w:bookmarkEnd w:id="522"/>
      <w:bookmarkEnd w:id="523"/>
      <w:bookmarkEnd w:id="524"/>
      <w:bookmarkEnd w:id="525"/>
      <w:bookmarkEnd w:id="526"/>
      <w:bookmarkEnd w:id="527"/>
      <w:bookmarkEnd w:id="528"/>
      <w:bookmarkEnd w:id="529"/>
      <w:bookmarkEnd w:id="530"/>
      <w:bookmarkEnd w:id="531"/>
      <w:bookmarkEnd w:id="532"/>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营造崇尚创新、勇于创业、鼓励冒险、宽容失败、允许试错的创新氛围，完善产权保护制度，树立尊重劳动、尊重知识、尊重人才、尊重创造的社会风尚，激发全社会创新创业内生动力。大力宣传重大科技创新工程、重大科技活动、优秀科技工作者、创新创业典型事迹，弘扬科学家精神和企业家精神，培育崇尚科学、尊重创新的创新文化和创业致富、追求卓越的价值导向，着力开创大众创业、万众创新新局面。加强科技界与社会公众之间的有效沟通和交流，为公众有序参与科技规划、技术预测、科技评估以及科技计划任务部署等科技管理活动拓展渠道、搭建桥梁，使公众能够更好地理解、掌握、运用和参与科技创新，进一步夯实创新驱动发展的社会基础，广泛动员各方力量共同推动规划顺利实施。</w:t>
      </w:r>
    </w:p>
    <w:sectPr>
      <w:footerReference r:id="rId4" w:type="default"/>
      <w:pgSz w:w="11906" w:h="16838"/>
      <w:pgMar w:top="1440" w:right="1803" w:bottom="1440" w:left="180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SimSun-ExtB">
    <w:panose1 w:val="02010609060101010101"/>
    <w:charset w:val="86"/>
    <w:family w:val="auto"/>
    <w:pitch w:val="default"/>
    <w:sig w:usb0="00000001" w:usb1="02000000" w:usb2="00000000" w:usb3="00000000" w:csb0="00040001" w:csb1="00000000"/>
  </w:font>
  <w:font w:name="Bahnschrift Light SemiCondensed">
    <w:panose1 w:val="020B0502040204020203"/>
    <w:charset w:val="00"/>
    <w:family w:val="auto"/>
    <w:pitch w:val="default"/>
    <w:sig w:usb0="800002C7" w:usb1="00000002" w:usb2="00000000" w:usb3="00000000" w:csb0="2000019F" w:csb1="00000000"/>
  </w:font>
  <w:font w:name="Yu Gothic UI">
    <w:panose1 w:val="020B0500000000000000"/>
    <w:charset w:val="80"/>
    <w:family w:val="auto"/>
    <w:pitch w:val="default"/>
    <w:sig w:usb0="E00002FF" w:usb1="2AC7FDFF" w:usb2="00000016" w:usb3="00000000" w:csb0="2002009F" w:csb1="00000000"/>
  </w:font>
  <w:font w:name="幼圆">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0Vlkq9AQAAgwMAAA4AAABkcnMvZTJvRG9jLnhtbK1TS27bMBDdB+gd&#10;CO5rykZbGILloICRokDRBkhzAJoiLQL8gUNb8gXaG3TVTfY5l8/RISU7abrJohvpzXD0Zt4banU9&#10;WEMOMoL2rqHzWUWJdMK32u0aev/95u2SEkjctdx4Jxt6lECv12+uVn2o5cJ33rQyEiRxUPehoV1K&#10;oWYMRCcth5kP0uGh8tHyhGHcsTbyHtmtYYuq+sB6H9sQvZAAmN2Mh3RijK8h9EppITde7K10aWSN&#10;0vCEkqDTAei6TKuUFOmbUiATMQ1Fpak8sQnibX6y9YrXu8hDp8U0An/NCC80Wa4dNr1QbXjiZB/1&#10;P1RWi+jBqzQT3rJRSHEEVcyrF97cdTzIogWthnAxHf4frfh6uI1Etw19T4njFhd++vXz9Pvx9PCD&#10;vMv29AFqrLoLt3GKAGHWOqho8xtVkKFYerxYKodEBCbny8VyWaHbAs/OAfKwp89DhPRJeksyaGjE&#10;nRUr+eELpLH0XJK7OX+jjcE8r437K4GcOcPyxOOMGaVhO0yDb317RLU9rruhDm83JeazQzfzzTiD&#10;eAbbCeQeED7uEzYu82TWkWpqhrspiqZ7lJf/PC5VT//O+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3RWWSr0BAACDAwAADgAAAAAAAAABACAAAAAfAQAAZHJzL2Uyb0RvYy54bWxQSwUGAAAA&#10;AAYABgBZAQAAT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I</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8744525"/>
    </w:sdtPr>
    <w:sdtContent>
      <w:p>
        <w:pPr>
          <w:pStyle w:val="2"/>
          <w:jc w:val="center"/>
        </w:pPr>
      </w:p>
      <w:sdt>
        <w:sdtPr>
          <w:id w:val="1400403965"/>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jc w:val="center"/>
        </w:pP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yNmYyOTZhOWNjNWJjNzRmM2QzYjUzMDk5MDVkZmIifQ=="/>
  </w:docVars>
  <w:rsids>
    <w:rsidRoot w:val="648C126D"/>
    <w:rsid w:val="0003119D"/>
    <w:rsid w:val="000324A0"/>
    <w:rsid w:val="00062C39"/>
    <w:rsid w:val="0006661F"/>
    <w:rsid w:val="000902F2"/>
    <w:rsid w:val="00111D9C"/>
    <w:rsid w:val="00122251"/>
    <w:rsid w:val="001303F0"/>
    <w:rsid w:val="00130D10"/>
    <w:rsid w:val="0014331A"/>
    <w:rsid w:val="001479F4"/>
    <w:rsid w:val="001710F6"/>
    <w:rsid w:val="0019661E"/>
    <w:rsid w:val="00197E01"/>
    <w:rsid w:val="001B1503"/>
    <w:rsid w:val="001B24C2"/>
    <w:rsid w:val="001B38FC"/>
    <w:rsid w:val="001B574B"/>
    <w:rsid w:val="001C2082"/>
    <w:rsid w:val="001C22C9"/>
    <w:rsid w:val="001E2A7B"/>
    <w:rsid w:val="001F5009"/>
    <w:rsid w:val="00236347"/>
    <w:rsid w:val="00253E1C"/>
    <w:rsid w:val="00264125"/>
    <w:rsid w:val="00265CEA"/>
    <w:rsid w:val="00267562"/>
    <w:rsid w:val="00282ECA"/>
    <w:rsid w:val="00297621"/>
    <w:rsid w:val="002C1D39"/>
    <w:rsid w:val="002C274D"/>
    <w:rsid w:val="002C2A05"/>
    <w:rsid w:val="0030450A"/>
    <w:rsid w:val="0031526E"/>
    <w:rsid w:val="00315F5D"/>
    <w:rsid w:val="00321224"/>
    <w:rsid w:val="00327124"/>
    <w:rsid w:val="00327DEB"/>
    <w:rsid w:val="00346618"/>
    <w:rsid w:val="003476A1"/>
    <w:rsid w:val="0035365E"/>
    <w:rsid w:val="00362F67"/>
    <w:rsid w:val="00363B37"/>
    <w:rsid w:val="00370D5E"/>
    <w:rsid w:val="00381D53"/>
    <w:rsid w:val="00382515"/>
    <w:rsid w:val="0039108C"/>
    <w:rsid w:val="003A4501"/>
    <w:rsid w:val="003A4BCB"/>
    <w:rsid w:val="003B6E55"/>
    <w:rsid w:val="003C784C"/>
    <w:rsid w:val="003F7ED9"/>
    <w:rsid w:val="00426698"/>
    <w:rsid w:val="00452A77"/>
    <w:rsid w:val="00464C03"/>
    <w:rsid w:val="00467EE5"/>
    <w:rsid w:val="004805B6"/>
    <w:rsid w:val="00481B99"/>
    <w:rsid w:val="004A20DA"/>
    <w:rsid w:val="004A6096"/>
    <w:rsid w:val="004A6E5C"/>
    <w:rsid w:val="004B6076"/>
    <w:rsid w:val="004C664F"/>
    <w:rsid w:val="004E4BAA"/>
    <w:rsid w:val="00536491"/>
    <w:rsid w:val="00560543"/>
    <w:rsid w:val="005633B2"/>
    <w:rsid w:val="005801A3"/>
    <w:rsid w:val="0058622E"/>
    <w:rsid w:val="005971C6"/>
    <w:rsid w:val="005A4AFF"/>
    <w:rsid w:val="005B2C81"/>
    <w:rsid w:val="005B6312"/>
    <w:rsid w:val="005C7831"/>
    <w:rsid w:val="005E0DA1"/>
    <w:rsid w:val="005E2254"/>
    <w:rsid w:val="005F434B"/>
    <w:rsid w:val="00607FF7"/>
    <w:rsid w:val="006118FF"/>
    <w:rsid w:val="00613E43"/>
    <w:rsid w:val="00624A64"/>
    <w:rsid w:val="00625E83"/>
    <w:rsid w:val="006607B5"/>
    <w:rsid w:val="006633E4"/>
    <w:rsid w:val="00667E59"/>
    <w:rsid w:val="006835FB"/>
    <w:rsid w:val="006911A4"/>
    <w:rsid w:val="006C4FEC"/>
    <w:rsid w:val="006D6C8A"/>
    <w:rsid w:val="006E547E"/>
    <w:rsid w:val="006E7CF6"/>
    <w:rsid w:val="007403BB"/>
    <w:rsid w:val="00743F5A"/>
    <w:rsid w:val="00773F3A"/>
    <w:rsid w:val="00774BA4"/>
    <w:rsid w:val="00776B69"/>
    <w:rsid w:val="007825F8"/>
    <w:rsid w:val="00782613"/>
    <w:rsid w:val="007C5091"/>
    <w:rsid w:val="007D6566"/>
    <w:rsid w:val="007E009F"/>
    <w:rsid w:val="007F02CD"/>
    <w:rsid w:val="007F3115"/>
    <w:rsid w:val="007F4697"/>
    <w:rsid w:val="007F4943"/>
    <w:rsid w:val="0080377D"/>
    <w:rsid w:val="00834862"/>
    <w:rsid w:val="008368FB"/>
    <w:rsid w:val="00837C40"/>
    <w:rsid w:val="008576AD"/>
    <w:rsid w:val="00871C1D"/>
    <w:rsid w:val="00876034"/>
    <w:rsid w:val="00893C81"/>
    <w:rsid w:val="00894095"/>
    <w:rsid w:val="008A595B"/>
    <w:rsid w:val="008B2918"/>
    <w:rsid w:val="008F68CD"/>
    <w:rsid w:val="009120E2"/>
    <w:rsid w:val="009262C8"/>
    <w:rsid w:val="009363BD"/>
    <w:rsid w:val="00945875"/>
    <w:rsid w:val="0094614A"/>
    <w:rsid w:val="00977399"/>
    <w:rsid w:val="00990E83"/>
    <w:rsid w:val="009939FB"/>
    <w:rsid w:val="009A3BB5"/>
    <w:rsid w:val="009B0CB0"/>
    <w:rsid w:val="009C5089"/>
    <w:rsid w:val="009C7426"/>
    <w:rsid w:val="009F2826"/>
    <w:rsid w:val="00A01E43"/>
    <w:rsid w:val="00A13BE2"/>
    <w:rsid w:val="00A15939"/>
    <w:rsid w:val="00A22F17"/>
    <w:rsid w:val="00A2493D"/>
    <w:rsid w:val="00A26037"/>
    <w:rsid w:val="00A32C7D"/>
    <w:rsid w:val="00A34ED4"/>
    <w:rsid w:val="00A47405"/>
    <w:rsid w:val="00A5286C"/>
    <w:rsid w:val="00A95B35"/>
    <w:rsid w:val="00AB004E"/>
    <w:rsid w:val="00AC0FC6"/>
    <w:rsid w:val="00AC2622"/>
    <w:rsid w:val="00AC439D"/>
    <w:rsid w:val="00AE1AC3"/>
    <w:rsid w:val="00B232D1"/>
    <w:rsid w:val="00B40C7B"/>
    <w:rsid w:val="00B4220F"/>
    <w:rsid w:val="00B601A9"/>
    <w:rsid w:val="00B6455C"/>
    <w:rsid w:val="00B97B83"/>
    <w:rsid w:val="00BB04BF"/>
    <w:rsid w:val="00BB3E9E"/>
    <w:rsid w:val="00BE44EE"/>
    <w:rsid w:val="00BF0B87"/>
    <w:rsid w:val="00BF4319"/>
    <w:rsid w:val="00C305D8"/>
    <w:rsid w:val="00C42C9E"/>
    <w:rsid w:val="00C43A6E"/>
    <w:rsid w:val="00C8372C"/>
    <w:rsid w:val="00CA349E"/>
    <w:rsid w:val="00CB0CC9"/>
    <w:rsid w:val="00CD4B85"/>
    <w:rsid w:val="00D01CD6"/>
    <w:rsid w:val="00D229CA"/>
    <w:rsid w:val="00D36926"/>
    <w:rsid w:val="00D50E94"/>
    <w:rsid w:val="00D818E8"/>
    <w:rsid w:val="00D81E7F"/>
    <w:rsid w:val="00DB3398"/>
    <w:rsid w:val="00DB385A"/>
    <w:rsid w:val="00DC32EC"/>
    <w:rsid w:val="00DC6DE3"/>
    <w:rsid w:val="00DD1416"/>
    <w:rsid w:val="00E178E8"/>
    <w:rsid w:val="00E30DB7"/>
    <w:rsid w:val="00E5475A"/>
    <w:rsid w:val="00E63CA2"/>
    <w:rsid w:val="00E70355"/>
    <w:rsid w:val="00E777E6"/>
    <w:rsid w:val="00EB54F7"/>
    <w:rsid w:val="00EE25DB"/>
    <w:rsid w:val="00EF3DD4"/>
    <w:rsid w:val="00F22936"/>
    <w:rsid w:val="00F5602C"/>
    <w:rsid w:val="00F63139"/>
    <w:rsid w:val="00F85E29"/>
    <w:rsid w:val="00F96F18"/>
    <w:rsid w:val="00FB0ADE"/>
    <w:rsid w:val="00FC5E26"/>
    <w:rsid w:val="00FE37C8"/>
    <w:rsid w:val="01A050EF"/>
    <w:rsid w:val="022B70FD"/>
    <w:rsid w:val="04515894"/>
    <w:rsid w:val="05940AC6"/>
    <w:rsid w:val="066162A3"/>
    <w:rsid w:val="076213BD"/>
    <w:rsid w:val="076B1CFB"/>
    <w:rsid w:val="076F5347"/>
    <w:rsid w:val="07872732"/>
    <w:rsid w:val="08834CC4"/>
    <w:rsid w:val="093305F6"/>
    <w:rsid w:val="0AD55E09"/>
    <w:rsid w:val="0B425AB2"/>
    <w:rsid w:val="0BE35298"/>
    <w:rsid w:val="0C9327B6"/>
    <w:rsid w:val="0DB01ADC"/>
    <w:rsid w:val="0DC7757F"/>
    <w:rsid w:val="0E1C2261"/>
    <w:rsid w:val="102B2D4F"/>
    <w:rsid w:val="10771092"/>
    <w:rsid w:val="111D3EA2"/>
    <w:rsid w:val="11B463DA"/>
    <w:rsid w:val="11E83A70"/>
    <w:rsid w:val="12C127C8"/>
    <w:rsid w:val="16D61ECE"/>
    <w:rsid w:val="17405F3D"/>
    <w:rsid w:val="180D5645"/>
    <w:rsid w:val="18EB32E8"/>
    <w:rsid w:val="1A9E57EA"/>
    <w:rsid w:val="1B61732B"/>
    <w:rsid w:val="1BAD3BA1"/>
    <w:rsid w:val="1BBE0BEC"/>
    <w:rsid w:val="1DA601D4"/>
    <w:rsid w:val="1E5241C5"/>
    <w:rsid w:val="1FE25E3C"/>
    <w:rsid w:val="1FED554B"/>
    <w:rsid w:val="20AA2C4D"/>
    <w:rsid w:val="211A5ECC"/>
    <w:rsid w:val="22CF25B9"/>
    <w:rsid w:val="2362439D"/>
    <w:rsid w:val="237815D0"/>
    <w:rsid w:val="247930D8"/>
    <w:rsid w:val="24BC791C"/>
    <w:rsid w:val="24C47FD6"/>
    <w:rsid w:val="252043D8"/>
    <w:rsid w:val="2537595F"/>
    <w:rsid w:val="257543EE"/>
    <w:rsid w:val="288E4EA5"/>
    <w:rsid w:val="29320E9E"/>
    <w:rsid w:val="29A4232C"/>
    <w:rsid w:val="2A7D281F"/>
    <w:rsid w:val="2BC35D84"/>
    <w:rsid w:val="2EE7437D"/>
    <w:rsid w:val="313B1A79"/>
    <w:rsid w:val="31554CFE"/>
    <w:rsid w:val="320A794F"/>
    <w:rsid w:val="324A0542"/>
    <w:rsid w:val="32A81E52"/>
    <w:rsid w:val="32BC1C5D"/>
    <w:rsid w:val="33233306"/>
    <w:rsid w:val="356B4AF0"/>
    <w:rsid w:val="36136ED2"/>
    <w:rsid w:val="36CB45E9"/>
    <w:rsid w:val="37370B9B"/>
    <w:rsid w:val="38B97809"/>
    <w:rsid w:val="3D433C23"/>
    <w:rsid w:val="3D5616C7"/>
    <w:rsid w:val="3D744E72"/>
    <w:rsid w:val="400B5E99"/>
    <w:rsid w:val="40A72962"/>
    <w:rsid w:val="40CF281B"/>
    <w:rsid w:val="41393CF5"/>
    <w:rsid w:val="416C5A15"/>
    <w:rsid w:val="417C1684"/>
    <w:rsid w:val="425A3F23"/>
    <w:rsid w:val="42B22B7D"/>
    <w:rsid w:val="42CB3072"/>
    <w:rsid w:val="439D0499"/>
    <w:rsid w:val="445A3E8A"/>
    <w:rsid w:val="44D75B32"/>
    <w:rsid w:val="44FF598B"/>
    <w:rsid w:val="458737E0"/>
    <w:rsid w:val="45B23E4C"/>
    <w:rsid w:val="45DD6E08"/>
    <w:rsid w:val="46A936CA"/>
    <w:rsid w:val="46DA3884"/>
    <w:rsid w:val="47BD0E41"/>
    <w:rsid w:val="48905C00"/>
    <w:rsid w:val="49846AAD"/>
    <w:rsid w:val="4A6855C7"/>
    <w:rsid w:val="4A6D4A0F"/>
    <w:rsid w:val="4AA743C5"/>
    <w:rsid w:val="4AFE2517"/>
    <w:rsid w:val="4CC609FE"/>
    <w:rsid w:val="4D64036A"/>
    <w:rsid w:val="4E91292D"/>
    <w:rsid w:val="4E9E5ADF"/>
    <w:rsid w:val="51882A24"/>
    <w:rsid w:val="51F8328C"/>
    <w:rsid w:val="522908A6"/>
    <w:rsid w:val="530F7AAE"/>
    <w:rsid w:val="531B0775"/>
    <w:rsid w:val="534F6A0E"/>
    <w:rsid w:val="5370275D"/>
    <w:rsid w:val="538C4158"/>
    <w:rsid w:val="540C3A4D"/>
    <w:rsid w:val="55DA1E4C"/>
    <w:rsid w:val="573A3115"/>
    <w:rsid w:val="57F14ED1"/>
    <w:rsid w:val="58F307D5"/>
    <w:rsid w:val="5950126B"/>
    <w:rsid w:val="59B47F65"/>
    <w:rsid w:val="5A0A4993"/>
    <w:rsid w:val="5B28308C"/>
    <w:rsid w:val="5B8322E4"/>
    <w:rsid w:val="5BC734F7"/>
    <w:rsid w:val="5C3451D6"/>
    <w:rsid w:val="5C427AAA"/>
    <w:rsid w:val="5D4F431D"/>
    <w:rsid w:val="5E5F1E93"/>
    <w:rsid w:val="5E8C7A4C"/>
    <w:rsid w:val="5F0447C2"/>
    <w:rsid w:val="60011A2A"/>
    <w:rsid w:val="61BE5E24"/>
    <w:rsid w:val="62B66903"/>
    <w:rsid w:val="637D6508"/>
    <w:rsid w:val="640124B8"/>
    <w:rsid w:val="648C126D"/>
    <w:rsid w:val="667523D3"/>
    <w:rsid w:val="66B5235F"/>
    <w:rsid w:val="673F17B5"/>
    <w:rsid w:val="678840FC"/>
    <w:rsid w:val="69926A05"/>
    <w:rsid w:val="6A674B7F"/>
    <w:rsid w:val="6B951C7C"/>
    <w:rsid w:val="6D051B2C"/>
    <w:rsid w:val="6D9C0FE4"/>
    <w:rsid w:val="6F79782E"/>
    <w:rsid w:val="6F941B5B"/>
    <w:rsid w:val="70F83224"/>
    <w:rsid w:val="718E713E"/>
    <w:rsid w:val="71A77DCB"/>
    <w:rsid w:val="71ED51D1"/>
    <w:rsid w:val="727E05AB"/>
    <w:rsid w:val="72BF7A9B"/>
    <w:rsid w:val="72FB3069"/>
    <w:rsid w:val="73B5352F"/>
    <w:rsid w:val="73E93D0D"/>
    <w:rsid w:val="740E3718"/>
    <w:rsid w:val="74AF0AA4"/>
    <w:rsid w:val="74F03F5D"/>
    <w:rsid w:val="750F77CC"/>
    <w:rsid w:val="7695128E"/>
    <w:rsid w:val="777F79AC"/>
    <w:rsid w:val="799C7A11"/>
    <w:rsid w:val="79D044EF"/>
    <w:rsid w:val="7A473BE9"/>
    <w:rsid w:val="7ABE07EB"/>
    <w:rsid w:val="7ABF7CE1"/>
    <w:rsid w:val="7AD0759A"/>
    <w:rsid w:val="7AFF1E25"/>
    <w:rsid w:val="7B0D10F4"/>
    <w:rsid w:val="7D16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cs="Times New Roman"/>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unhideWhenUsed/>
    <w:qFormat/>
    <w:uiPriority w:val="99"/>
    <w:pPr>
      <w:tabs>
        <w:tab w:val="center" w:pos="4153"/>
        <w:tab w:val="right" w:pos="8306"/>
      </w:tabs>
      <w:snapToGrid w:val="0"/>
      <w:jc w:val="left"/>
    </w:pPr>
    <w:rPr>
      <w:sz w:val="18"/>
      <w:szCs w:val="18"/>
    </w:rPr>
  </w:style>
  <w:style w:type="paragraph" w:styleId="4">
    <w:name w:val="Note Heading"/>
    <w:basedOn w:val="1"/>
    <w:next w:val="1"/>
    <w:unhideWhenUsed/>
    <w:qFormat/>
    <w:uiPriority w:val="99"/>
    <w:pPr>
      <w:jc w:val="center"/>
    </w:pPr>
    <w:rPr>
      <w:rFonts w:ascii="Times New Roman"/>
    </w:rPr>
  </w:style>
  <w:style w:type="paragraph" w:styleId="5">
    <w:name w:val="toc 3"/>
    <w:basedOn w:val="1"/>
    <w:next w:val="1"/>
    <w:unhideWhenUsed/>
    <w:qFormat/>
    <w:uiPriority w:val="39"/>
    <w:pPr>
      <w:ind w:left="840" w:leftChars="400"/>
    </w:pPr>
  </w:style>
  <w:style w:type="paragraph" w:styleId="6">
    <w:name w:val="Balloon Text"/>
    <w:basedOn w:val="1"/>
    <w:link w:val="20"/>
    <w:qFormat/>
    <w:uiPriority w:val="0"/>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qFormat/>
    <w:uiPriority w:val="39"/>
    <w:pPr>
      <w:tabs>
        <w:tab w:val="right" w:leader="dot" w:pos="8296"/>
      </w:tabs>
      <w:adjustRightInd w:val="0"/>
      <w:snapToGrid w:val="0"/>
      <w:spacing w:line="360" w:lineRule="auto"/>
      <w:ind w:firstLine="643"/>
    </w:pPr>
    <w:rPr>
      <w:rFonts w:ascii="仿宋_GB2312" w:hAnsi="Times New Roman" w:eastAsia="仿宋_GB2312" w:cs="Times New Roman"/>
      <w:color w:val="C00000"/>
      <w:sz w:val="32"/>
      <w:szCs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0"/>
    <w:rPr>
      <w:i/>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列出段落1"/>
    <w:basedOn w:val="1"/>
    <w:qFormat/>
    <w:uiPriority w:val="34"/>
    <w:pPr>
      <w:ind w:firstLine="420" w:firstLineChars="200"/>
    </w:pPr>
  </w:style>
  <w:style w:type="character" w:customStyle="1" w:styleId="16">
    <w:name w:val="NormalCharacter"/>
    <w:qFormat/>
    <w:uiPriority w:val="0"/>
  </w:style>
  <w:style w:type="paragraph" w:customStyle="1" w:styleId="17">
    <w:name w:val="三级标题目录"/>
    <w:basedOn w:val="1"/>
    <w:qFormat/>
    <w:uiPriority w:val="0"/>
    <w:pPr>
      <w:tabs>
        <w:tab w:val="right" w:leader="dot" w:pos="8306"/>
      </w:tabs>
      <w:spacing w:line="500" w:lineRule="exact"/>
      <w:ind w:left="840" w:leftChars="400"/>
    </w:pPr>
    <w:rPr>
      <w:rFonts w:hint="eastAsia" w:ascii="方正仿宋简体" w:hAnsi="方正仿宋简体" w:eastAsia="方正仿宋简体" w:cs="方正仿宋简体"/>
      <w:sz w:val="28"/>
      <w:szCs w:val="28"/>
    </w:rPr>
  </w:style>
  <w:style w:type="character" w:customStyle="1" w:styleId="18">
    <w:name w:val="页眉 Char"/>
    <w:basedOn w:val="12"/>
    <w:link w:val="7"/>
    <w:qFormat/>
    <w:uiPriority w:val="0"/>
    <w:rPr>
      <w:rFonts w:ascii="Calibri" w:hAnsi="Calibri" w:eastAsia="宋体" w:cs="黑体"/>
      <w:kern w:val="2"/>
      <w:sz w:val="18"/>
      <w:szCs w:val="18"/>
    </w:rPr>
  </w:style>
  <w:style w:type="paragraph" w:customStyle="1" w:styleId="19">
    <w:name w:val="修订1"/>
    <w:hidden/>
    <w:semiHidden/>
    <w:qFormat/>
    <w:uiPriority w:val="99"/>
    <w:rPr>
      <w:rFonts w:ascii="Calibri" w:hAnsi="Calibri" w:eastAsia="宋体" w:cs="黑体"/>
      <w:kern w:val="2"/>
      <w:sz w:val="21"/>
      <w:szCs w:val="22"/>
      <w:lang w:val="en-US" w:eastAsia="zh-CN" w:bidi="ar-SA"/>
    </w:rPr>
  </w:style>
  <w:style w:type="character" w:customStyle="1" w:styleId="20">
    <w:name w:val="批注框文本 Char"/>
    <w:basedOn w:val="12"/>
    <w:link w:val="6"/>
    <w:qFormat/>
    <w:uiPriority w:val="0"/>
    <w:rPr>
      <w:rFonts w:ascii="Calibri" w:hAnsi="Calibri" w:eastAsia="宋体" w:cs="黑体"/>
      <w:kern w:val="2"/>
      <w:sz w:val="18"/>
      <w:szCs w:val="18"/>
    </w:rPr>
  </w:style>
  <w:style w:type="character" w:customStyle="1" w:styleId="21">
    <w:name w:val="页脚 Char"/>
    <w:basedOn w:val="12"/>
    <w:link w:val="2"/>
    <w:qFormat/>
    <w:uiPriority w:val="99"/>
    <w:rPr>
      <w:rFonts w:ascii="Calibri" w:hAnsi="Calibri" w:eastAsia="宋体" w:cs="黑体"/>
      <w:kern w:val="2"/>
      <w:sz w:val="18"/>
      <w:szCs w:val="18"/>
    </w:rPr>
  </w:style>
  <w:style w:type="character" w:customStyle="1" w:styleId="22">
    <w:name w:val="样式3 Char"/>
    <w:link w:val="23"/>
    <w:qFormat/>
    <w:uiPriority w:val="0"/>
    <w:rPr>
      <w:rFonts w:ascii="Times New Roman" w:hAnsi="Times New Roman" w:eastAsiaTheme="minorEastAsia" w:cstheme="minorBidi"/>
      <w:color w:val="0070C0"/>
      <w:sz w:val="24"/>
    </w:rPr>
  </w:style>
  <w:style w:type="paragraph" w:customStyle="1" w:styleId="23">
    <w:name w:val="样式3"/>
    <w:basedOn w:val="1"/>
    <w:link w:val="22"/>
    <w:qFormat/>
    <w:uiPriority w:val="0"/>
    <w:pPr>
      <w:spacing w:line="360" w:lineRule="auto"/>
      <w:ind w:firstLine="480" w:firstLineChars="200"/>
    </w:pPr>
    <w:rPr>
      <w:rFonts w:ascii="Times New Roman" w:hAnsi="Times New Roman" w:eastAsiaTheme="minorEastAsia" w:cstheme="minorBidi"/>
      <w:color w:val="0070C0"/>
      <w:sz w:val="24"/>
    </w:rPr>
  </w:style>
  <w:style w:type="paragraph" w:customStyle="1" w:styleId="24">
    <w:name w:val="修订2"/>
    <w:hidden/>
    <w:semiHidden/>
    <w:qFormat/>
    <w:uiPriority w:val="99"/>
    <w:rPr>
      <w:rFonts w:ascii="Calibri" w:hAnsi="Calibri" w:eastAsia="宋体" w:cs="黑体"/>
      <w:kern w:val="2"/>
      <w:sz w:val="21"/>
      <w:szCs w:val="22"/>
      <w:lang w:val="en-US" w:eastAsia="zh-CN" w:bidi="ar-SA"/>
    </w:rPr>
  </w:style>
  <w:style w:type="paragraph" w:styleId="25">
    <w:name w:val="List Paragraph"/>
    <w:basedOn w:val="1"/>
    <w:qFormat/>
    <w:uiPriority w:val="99"/>
    <w:pPr>
      <w:ind w:firstLine="420" w:firstLineChars="200"/>
    </w:pPr>
  </w:style>
  <w:style w:type="character" w:customStyle="1" w:styleId="26">
    <w:name w:val="15"/>
    <w:basedOn w:val="12"/>
    <w:qFormat/>
    <w:uiPriority w:val="0"/>
  </w:style>
  <w:style w:type="paragraph" w:customStyle="1" w:styleId="27">
    <w:name w:val="修订3"/>
    <w:hidden/>
    <w:semiHidden/>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35699D-09CD-49D3-ACD9-F6B35CFB679F}">
  <ds:schemaRefs/>
</ds:datastoreItem>
</file>

<file path=docProps/app.xml><?xml version="1.0" encoding="utf-8"?>
<Properties xmlns="http://schemas.openxmlformats.org/officeDocument/2006/extended-properties" xmlns:vt="http://schemas.openxmlformats.org/officeDocument/2006/docPropsVTypes">
  <Template>Normal</Template>
  <Company>f</Company>
  <Pages>54</Pages>
  <Words>26223</Words>
  <Characters>26642</Characters>
  <Lines>210</Lines>
  <Paragraphs>59</Paragraphs>
  <TotalTime>3</TotalTime>
  <ScaleCrop>false</ScaleCrop>
  <LinksUpToDate>false</LinksUpToDate>
  <CharactersWithSpaces>30544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2022-03-15T03:02:00Z</dcterms:created>
  <dc:creator>请叫我小短腿儿团团团团子好嘛</dc:creator>
  <cp:lastModifiedBy>子航</cp:lastModifiedBy>
  <cp:lastPrinted>2022-08-13T11:24:23Z</cp:lastPrinted>
  <dcterms:modified xsi:type="dcterms:W3CDTF">2022-08-13T12:18:07Z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3CAEF3CE58634C0B81A9D8F6C355F579</vt:lpwstr>
  </property>
</Properties>
</file>